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460"/>
          <w:sz w:val="48"/>
        </w:rPr>
        <w:t>CCOPilot.ai</w:t>
      </w:r>
    </w:p>
    <w:p>
      <w:pPr>
        <w:jc w:val="center"/>
      </w:pPr>
      <w:r>
        <w:rPr>
          <w:color w:val="4A5668"/>
          <w:sz w:val="32"/>
        </w:rPr>
        <w:t>Data Classification &amp; Handling Policy</w:t>
      </w:r>
    </w:p>
    <w:p>
      <w:pPr>
        <w:jc w:val="center"/>
      </w:pPr>
      <w:r>
        <w:rPr>
          <w:color w:val="1687A7"/>
          <w:sz w:val="22"/>
        </w:rPr>
        <w:t>Policy ID: POL-DCH-007</w:t>
      </w:r>
    </w:p>
    <w:p>
      <w:pPr>
        <w:jc w:val="center"/>
      </w:pPr>
      <w:r>
        <w:rPr>
          <w:color w:val="4A5668"/>
          <w:sz w:val="20"/>
        </w:rPr>
        <w:t>Version 1.0 | March 25, 2026</w:t>
      </w:r>
    </w:p>
    <w:p>
      <w:pPr>
        <w:jc w:val="center"/>
      </w:pPr>
      <w:r>
        <w:rPr>
          <w:b/>
          <w:color w:val="CC0000"/>
          <w:sz w:val="20"/>
        </w:rPr>
        <w:t>Classification: INTERNAL</w:t>
      </w:r>
    </w:p>
    <w:p/>
    <w:p/>
    <w:p/>
    <w:p/>
    <w:p>
      <w:pPr>
        <w:jc w:val="center"/>
      </w:pPr>
      <w:r>
        <w:rPr>
          <w:color w:val="4A5668"/>
          <w:sz w:val="18"/>
        </w:rPr>
        <w:t>CCO2go.ai | Powered by CCOPilot.ai</w:t>
      </w:r>
    </w:p>
    <w:p>
      <w:r>
        <w:br w:type="page"/>
      </w:r>
    </w:p>
    <w:p>
      <w:pPr>
        <w:pStyle w:val="Heading1"/>
      </w:pPr>
      <w:r>
        <w:t>Document Control</w:t>
      </w:r>
    </w:p>
    <w:tbl>
      <w:tblPr>
        <w:tblW w:type="auto" w:w="0"/>
        <w:tblLook w:firstColumn="1" w:firstRow="1" w:lastColumn="0" w:lastRow="0" w:noHBand="0" w:noVBand="1" w:val="04A0"/>
      </w:tblPr>
      <w:tblGrid>
        <w:gridCol w:w="4680"/>
        <w:gridCol w:w="4680"/>
      </w:tblGrid>
      <w:tr>
        <w:tc>
          <w:tcPr>
            <w:tcW w:type="dxa" w:w="4680"/>
            <w:shd w:fill="E8F4F8" w:val="clear"/>
          </w:tcPr>
          <w:p>
            <w:r>
              <w:rPr>
                <w:b/>
                <w:sz w:val="18"/>
              </w:rPr>
              <w:t>Policy ID</w:t>
            </w:r>
          </w:p>
        </w:tc>
        <w:tc>
          <w:tcPr>
            <w:tcW w:type="dxa" w:w="4680"/>
            <w:shd w:fill="E8F4F8" w:val="clear"/>
          </w:tcPr>
          <w:p>
            <w:r>
              <w:rPr>
                <w:sz w:val="18"/>
              </w:rPr>
              <w:t>POL-DCH-007</w:t>
            </w:r>
          </w:p>
        </w:tc>
      </w:tr>
      <w:tr>
        <w:tc>
          <w:tcPr>
            <w:tcW w:type="dxa" w:w="4680"/>
          </w:tcPr>
          <w:p>
            <w:r>
              <w:rPr>
                <w:b/>
                <w:sz w:val="18"/>
              </w:rPr>
              <w:t>Policy Name</w:t>
            </w:r>
          </w:p>
        </w:tc>
        <w:tc>
          <w:tcPr>
            <w:tcW w:type="dxa" w:w="4680"/>
          </w:tcPr>
          <w:p>
            <w:r>
              <w:rPr>
                <w:sz w:val="18"/>
              </w:rPr>
              <w:t>Data Classification &amp; Handling Policy</w:t>
            </w:r>
          </w:p>
        </w:tc>
      </w:tr>
      <w:tr>
        <w:tc>
          <w:tcPr>
            <w:tcW w:type="dxa" w:w="4680"/>
          </w:tcPr>
          <w:p>
            <w:r>
              <w:rPr>
                <w:b/>
                <w:sz w:val="18"/>
              </w:rPr>
              <w:t>Version</w:t>
            </w:r>
          </w:p>
        </w:tc>
        <w:tc>
          <w:tcPr>
            <w:tcW w:type="dxa" w:w="4680"/>
          </w:tcPr>
          <w:p>
            <w:r>
              <w:rPr>
                <w:sz w:val="18"/>
              </w:rPr>
              <w:t>1.0</w:t>
            </w:r>
          </w:p>
        </w:tc>
      </w:tr>
      <w:tr>
        <w:tc>
          <w:tcPr>
            <w:tcW w:type="dxa" w:w="4680"/>
          </w:tcPr>
          <w:p>
            <w:r>
              <w:rPr>
                <w:b/>
                <w:sz w:val="18"/>
              </w:rPr>
              <w:t>Effective Date</w:t>
            </w:r>
          </w:p>
        </w:tc>
        <w:tc>
          <w:tcPr>
            <w:tcW w:type="dxa" w:w="4680"/>
          </w:tcPr>
          <w:p>
            <w:r>
              <w:rPr>
                <w:sz w:val="18"/>
              </w:rPr>
              <w:t>March 25, 2026</w:t>
            </w:r>
          </w:p>
        </w:tc>
      </w:tr>
      <w:tr>
        <w:tc>
          <w:tcPr>
            <w:tcW w:type="dxa" w:w="4680"/>
          </w:tcPr>
          <w:p>
            <w:r>
              <w:rPr>
                <w:b/>
                <w:sz w:val="18"/>
              </w:rPr>
              <w:t>Last Review</w:t>
            </w:r>
          </w:p>
        </w:tc>
        <w:tc>
          <w:tcPr>
            <w:tcW w:type="dxa" w:w="4680"/>
          </w:tcPr>
          <w:p>
            <w:r>
              <w:rPr>
                <w:sz w:val="18"/>
              </w:rPr>
              <w:t>March 25, 2026</w:t>
            </w:r>
          </w:p>
        </w:tc>
      </w:tr>
      <w:tr>
        <w:tc>
          <w:tcPr>
            <w:tcW w:type="dxa" w:w="4680"/>
          </w:tcPr>
          <w:p>
            <w:r>
              <w:rPr>
                <w:b/>
                <w:sz w:val="18"/>
              </w:rPr>
              <w:t>Next Review</w:t>
            </w:r>
          </w:p>
        </w:tc>
        <w:tc>
          <w:tcPr>
            <w:tcW w:type="dxa" w:w="4680"/>
          </w:tcPr>
          <w:p>
            <w:r>
              <w:rPr>
                <w:sz w:val="18"/>
              </w:rPr>
              <w:t>June 25, 2026 (Quarterly)</w:t>
            </w:r>
          </w:p>
        </w:tc>
      </w:tr>
      <w:tr>
        <w:tc>
          <w:tcPr>
            <w:tcW w:type="dxa" w:w="4680"/>
          </w:tcPr>
          <w:p>
            <w:r>
              <w:rPr>
                <w:b/>
                <w:sz w:val="18"/>
              </w:rPr>
              <w:t>Owner</w:t>
            </w:r>
          </w:p>
        </w:tc>
        <w:tc>
          <w:tcPr>
            <w:tcW w:type="dxa" w:w="4680"/>
          </w:tcPr>
          <w:p>
            <w:r>
              <w:rPr>
                <w:sz w:val="18"/>
              </w:rPr>
              <w:t>Shane James, CEO</w:t>
            </w:r>
          </w:p>
        </w:tc>
      </w:tr>
      <w:tr>
        <w:tc>
          <w:tcPr>
            <w:tcW w:type="dxa" w:w="4680"/>
          </w:tcPr>
          <w:p>
            <w:r>
              <w:rPr>
                <w:b/>
                <w:sz w:val="18"/>
              </w:rPr>
              <w:t>Approved By</w:t>
            </w:r>
          </w:p>
        </w:tc>
        <w:tc>
          <w:tcPr>
            <w:tcW w:type="dxa" w:w="4680"/>
          </w:tcPr>
          <w:p>
            <w:r>
              <w:rPr>
                <w:sz w:val="18"/>
              </w:rPr>
              <w:t>_______________________ (Signature &amp; Date)</w:t>
            </w:r>
          </w:p>
        </w:tc>
      </w:tr>
    </w:tbl>
    <w:p/>
    <w:p>
      <w:pPr>
        <w:pStyle w:val="Heading2"/>
      </w:pPr>
      <w:r>
        <w:t>Revision History</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Version</w:t>
            </w:r>
          </w:p>
        </w:tc>
        <w:tc>
          <w:tcPr>
            <w:tcW w:type="dxa" w:w="2340"/>
            <w:shd w:fill="0F3460" w:val="clear"/>
          </w:tcPr>
          <w:p>
            <w:r>
              <w:rPr>
                <w:b/>
                <w:color w:val="FFFFFF"/>
                <w:sz w:val="18"/>
              </w:rPr>
              <w:t>Date</w:t>
            </w:r>
          </w:p>
        </w:tc>
        <w:tc>
          <w:tcPr>
            <w:tcW w:type="dxa" w:w="2340"/>
            <w:shd w:fill="0F3460" w:val="clear"/>
          </w:tcPr>
          <w:p>
            <w:r>
              <w:rPr>
                <w:b/>
                <w:color w:val="FFFFFF"/>
                <w:sz w:val="18"/>
              </w:rPr>
              <w:t>Author</w:t>
            </w:r>
          </w:p>
        </w:tc>
        <w:tc>
          <w:tcPr>
            <w:tcW w:type="dxa" w:w="2340"/>
            <w:shd w:fill="0F3460" w:val="clear"/>
          </w:tcPr>
          <w:p>
            <w:r>
              <w:rPr>
                <w:b/>
                <w:color w:val="FFFFFF"/>
                <w:sz w:val="18"/>
              </w:rPr>
              <w:t>Changes</w:t>
            </w:r>
          </w:p>
        </w:tc>
      </w:tr>
      <w:tr>
        <w:tc>
          <w:tcPr>
            <w:tcW w:type="dxa" w:w="2340"/>
          </w:tcPr>
          <w:p>
            <w:r>
              <w:rPr>
                <w:sz w:val="18"/>
              </w:rPr>
              <w:t>1.0</w:t>
            </w:r>
          </w:p>
        </w:tc>
        <w:tc>
          <w:tcPr>
            <w:tcW w:type="dxa" w:w="2340"/>
          </w:tcPr>
          <w:p>
            <w:r>
              <w:rPr>
                <w:sz w:val="18"/>
              </w:rPr>
              <w:t>March 25, 2026</w:t>
            </w:r>
          </w:p>
        </w:tc>
        <w:tc>
          <w:tcPr>
            <w:tcW w:type="dxa" w:w="2340"/>
          </w:tcPr>
          <w:p>
            <w:r>
              <w:rPr>
                <w:sz w:val="18"/>
              </w:rPr>
              <w:t>Shane James</w:t>
            </w:r>
          </w:p>
        </w:tc>
        <w:tc>
          <w:tcPr>
            <w:tcW w:type="dxa" w:w="2340"/>
          </w:tcPr>
          <w:p>
            <w:r>
              <w:rPr>
                <w:sz w:val="18"/>
              </w:rPr>
              <w:t>Initial policy creation</w:t>
            </w:r>
          </w:p>
        </w:tc>
      </w:tr>
    </w:tbl>
    <w:p/>
    <w:p>
      <w:pPr>
        <w:pStyle w:val="Heading1"/>
      </w:pPr>
      <w:r>
        <w:t>1. Purpose</w:t>
      </w:r>
    </w:p>
    <w:p>
      <w:r>
        <w:t>This policy defines how data processed by CCOPilot.ai is classified, handled, stored, and disposed of based on its sensitivity. It ensures appropriate protections are applied to different categories of data throughout their lifecycle.</w:t>
      </w:r>
    </w:p>
    <w:p>
      <w:pPr>
        <w:pStyle w:val="Heading1"/>
      </w:pPr>
      <w:r>
        <w:t>2. Data Classification Levels</w:t>
      </w:r>
    </w:p>
    <w:p>
      <w:pPr>
        <w:pStyle w:val="Heading2"/>
      </w:pPr>
      <w:r>
        <w:t>2.1 Restricted</w:t>
      </w:r>
    </w:p>
    <w:p>
      <w:r>
        <w:t>The most sensitive data. Unauthorized disclosure could cause significant harm to customers or the business.</w:t>
      </w:r>
    </w:p>
    <w:p>
      <w:r>
        <w:t>Examples: Database credentials, API keys, encryption keys, OAuth refresh tokens, payment information (Stripe), customer financial data (ARR, MRR, contract values).</w:t>
      </w:r>
    </w:p>
    <w:p>
      <w:pPr>
        <w:pStyle w:val="ListBullet"/>
      </w:pPr>
      <w:r>
        <w:t>Storage: Encrypted at rest. Secrets managed exclusively through Doppler.</w:t>
      </w:r>
    </w:p>
    <w:p>
      <w:pPr>
        <w:pStyle w:val="ListBullet"/>
      </w:pPr>
      <w:r>
        <w:t>Access: CEO/platform operators only. Doppler audit trail on all access.</w:t>
      </w:r>
    </w:p>
    <w:p>
      <w:pPr>
        <w:pStyle w:val="ListBullet"/>
      </w:pPr>
      <w:r>
        <w:t>Transmission: TLS 1.2+ only. Never transmitted via email or chat.</w:t>
      </w:r>
    </w:p>
    <w:p>
      <w:pPr>
        <w:pStyle w:val="ListBullet"/>
      </w:pPr>
      <w:r>
        <w:t>Disposal: Cryptographic deletion. Rotate keys rather than simply deleting them.</w:t>
      </w:r>
    </w:p>
    <w:p>
      <w:pPr>
        <w:pStyle w:val="Heading2"/>
      </w:pPr>
      <w:r>
        <w:t>2.2 Confidential</w:t>
      </w:r>
    </w:p>
    <w:p>
      <w:r>
        <w:t>Sensitive business data. Unauthorized disclosure could damage customer relationships or violate privacy obligations.</w:t>
      </w:r>
    </w:p>
    <w:p>
      <w:r>
        <w:t>Examples: Customer names, contact emails, health scores, sentiment analysis, AI briefings, meeting transcripts, notes, risks, success plans, email content, churn predictions.</w:t>
      </w:r>
    </w:p>
    <w:p>
      <w:pPr>
        <w:pStyle w:val="ListBullet"/>
      </w:pPr>
      <w:r>
        <w:t>Storage: Encrypted at rest (database-level encryption). Multi-tenant isolation enforced.</w:t>
      </w:r>
    </w:p>
    <w:p>
      <w:pPr>
        <w:pStyle w:val="ListBullet"/>
      </w:pPr>
      <w:r>
        <w:t>Access: Authorized users only, filtered by teamId and RBAC role.</w:t>
      </w:r>
    </w:p>
    <w:p>
      <w:pPr>
        <w:pStyle w:val="ListBullet"/>
      </w:pPr>
      <w:r>
        <w:t>Transmission: TLS 1.2+ only. API responses never include cross-tenant data.</w:t>
      </w:r>
    </w:p>
    <w:p>
      <w:pPr>
        <w:pStyle w:val="ListBullet"/>
      </w:pPr>
      <w:r>
        <w:t>Disposal: Deleted on account termination per data retention schedule.</w:t>
      </w:r>
    </w:p>
    <w:p>
      <w:pPr>
        <w:pStyle w:val="Heading2"/>
      </w:pPr>
      <w:r>
        <w:t>2.3 Internal</w:t>
      </w:r>
    </w:p>
    <w:p>
      <w:r>
        <w:t>Internal business data not intended for public disclosure but not sensitive enough to require Confidential controls.</w:t>
      </w:r>
    </w:p>
    <w:p>
      <w:r>
        <w:t>Examples: Internal guides and documentation (visibility: INTERNAL), agent configuration, workflow rules, playbook templates, platform analytics.</w:t>
      </w:r>
    </w:p>
    <w:p>
      <w:pPr>
        <w:pStyle w:val="ListBullet"/>
      </w:pPr>
      <w:r>
        <w:t>Storage: Standard database storage with tenant isolation.</w:t>
      </w:r>
    </w:p>
    <w:p>
      <w:pPr>
        <w:pStyle w:val="ListBullet"/>
      </w:pPr>
      <w:r>
        <w:t>Access: Authenticated users within the tenant.</w:t>
      </w:r>
    </w:p>
    <w:p>
      <w:pPr>
        <w:pStyle w:val="ListBullet"/>
      </w:pPr>
      <w:r>
        <w:t>Transmission: TLS 1.2+.</w:t>
      </w:r>
    </w:p>
    <w:p>
      <w:pPr>
        <w:pStyle w:val="ListBullet"/>
      </w:pPr>
      <w:r>
        <w:t>Disposal: Deleted on account termination.</w:t>
      </w:r>
    </w:p>
    <w:p>
      <w:pPr>
        <w:pStyle w:val="Heading2"/>
      </w:pPr>
      <w:r>
        <w:t>2.4 Public</w:t>
      </w:r>
    </w:p>
    <w:p>
      <w:r>
        <w:t>Information intended for public access.</w:t>
      </w:r>
    </w:p>
    <w:p>
      <w:r>
        <w:t>Examples: Public guides (visibility: PUBLIC), public status page, adoption reports (token-based), customer portal data (token-based), marketing website content.</w:t>
      </w:r>
    </w:p>
    <w:p>
      <w:pPr>
        <w:pStyle w:val="ListBullet"/>
      </w:pPr>
      <w:r>
        <w:t>Storage: Standard storage. No tenant isolation required.</w:t>
      </w:r>
    </w:p>
    <w:p>
      <w:pPr>
        <w:pStyle w:val="ListBullet"/>
      </w:pPr>
      <w:r>
        <w:t>Access: No authentication required (or token-based).</w:t>
      </w:r>
    </w:p>
    <w:p>
      <w:pPr>
        <w:pStyle w:val="ListBullet"/>
      </w:pPr>
      <w:r>
        <w:t>Transmission: TLS 1.2+.</w:t>
      </w:r>
    </w:p>
    <w:p>
      <w:pPr>
        <w:pStyle w:val="ListBullet"/>
      </w:pPr>
      <w:r>
        <w:t>Disposal: Standard deletion.</w:t>
      </w:r>
    </w:p>
    <w:p>
      <w:pPr>
        <w:pStyle w:val="Heading1"/>
      </w:pPr>
      <w:r>
        <w:t>3. Personal Data Inventory</w:t>
      </w:r>
    </w:p>
    <w:p>
      <w:r>
        <w:t>The following personal data is processed by CCOPilot.ai:</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6"/>
              </w:rPr>
              <w:t>Data Element</w:t>
            </w:r>
          </w:p>
        </w:tc>
        <w:tc>
          <w:tcPr>
            <w:tcW w:type="dxa" w:w="2340"/>
            <w:shd w:fill="0F3460" w:val="clear"/>
          </w:tcPr>
          <w:p>
            <w:r>
              <w:rPr>
                <w:b/>
                <w:color w:val="FFFFFF"/>
                <w:sz w:val="16"/>
              </w:rPr>
              <w:t>Classification</w:t>
            </w:r>
          </w:p>
        </w:tc>
        <w:tc>
          <w:tcPr>
            <w:tcW w:type="dxa" w:w="2340"/>
            <w:shd w:fill="0F3460" w:val="clear"/>
          </w:tcPr>
          <w:p>
            <w:r>
              <w:rPr>
                <w:b/>
                <w:color w:val="FFFFFF"/>
                <w:sz w:val="16"/>
              </w:rPr>
              <w:t>Storage Location</w:t>
            </w:r>
          </w:p>
        </w:tc>
        <w:tc>
          <w:tcPr>
            <w:tcW w:type="dxa" w:w="2340"/>
            <w:shd w:fill="0F3460" w:val="clear"/>
          </w:tcPr>
          <w:p>
            <w:r>
              <w:rPr>
                <w:b/>
                <w:color w:val="FFFFFF"/>
                <w:sz w:val="16"/>
              </w:rPr>
              <w:t>Retention</w:t>
            </w:r>
          </w:p>
        </w:tc>
      </w:tr>
      <w:tr>
        <w:tc>
          <w:tcPr>
            <w:tcW w:type="dxa" w:w="2340"/>
          </w:tcPr>
          <w:p>
            <w:r>
              <w:rPr>
                <w:sz w:val="16"/>
              </w:rPr>
              <w:t>User email, name</w:t>
            </w:r>
          </w:p>
        </w:tc>
        <w:tc>
          <w:tcPr>
            <w:tcW w:type="dxa" w:w="2340"/>
          </w:tcPr>
          <w:p>
            <w:r>
              <w:rPr>
                <w:sz w:val="16"/>
              </w:rPr>
              <w:t>Confidential — PII</w:t>
            </w:r>
          </w:p>
        </w:tc>
        <w:tc>
          <w:tcPr>
            <w:tcW w:type="dxa" w:w="2340"/>
          </w:tcPr>
          <w:p>
            <w:r>
              <w:rPr>
                <w:sz w:val="16"/>
              </w:rPr>
              <w:t>User table</w:t>
            </w:r>
          </w:p>
        </w:tc>
        <w:tc>
          <w:tcPr>
            <w:tcW w:type="dxa" w:w="2340"/>
          </w:tcPr>
          <w:p>
            <w:r>
              <w:rPr>
                <w:sz w:val="16"/>
              </w:rPr>
              <w:t>Account lifetime + 30 days</w:t>
            </w:r>
          </w:p>
        </w:tc>
      </w:tr>
      <w:tr>
        <w:tc>
          <w:tcPr>
            <w:tcW w:type="dxa" w:w="2340"/>
          </w:tcPr>
          <w:p>
            <w:r>
              <w:rPr>
                <w:sz w:val="16"/>
              </w:rPr>
              <w:t>Customer name, contact email</w:t>
            </w:r>
          </w:p>
        </w:tc>
        <w:tc>
          <w:tcPr>
            <w:tcW w:type="dxa" w:w="2340"/>
          </w:tcPr>
          <w:p>
            <w:r>
              <w:rPr>
                <w:sz w:val="16"/>
              </w:rPr>
              <w:t>Confidential — PII</w:t>
            </w:r>
          </w:p>
        </w:tc>
        <w:tc>
          <w:tcPr>
            <w:tcW w:type="dxa" w:w="2340"/>
          </w:tcPr>
          <w:p>
            <w:r>
              <w:rPr>
                <w:sz w:val="16"/>
              </w:rPr>
              <w:t>Customer, Contact tables</w:t>
            </w:r>
          </w:p>
        </w:tc>
        <w:tc>
          <w:tcPr>
            <w:tcW w:type="dxa" w:w="2340"/>
          </w:tcPr>
          <w:p>
            <w:r>
              <w:rPr>
                <w:sz w:val="16"/>
              </w:rPr>
              <w:t>Account lifetime</w:t>
            </w:r>
          </w:p>
        </w:tc>
      </w:tr>
      <w:tr>
        <w:tc>
          <w:tcPr>
            <w:tcW w:type="dxa" w:w="2340"/>
          </w:tcPr>
          <w:p>
            <w:r>
              <w:rPr>
                <w:sz w:val="16"/>
              </w:rPr>
              <w:t>ARR, MRR, contract values</w:t>
            </w:r>
          </w:p>
        </w:tc>
        <w:tc>
          <w:tcPr>
            <w:tcW w:type="dxa" w:w="2340"/>
          </w:tcPr>
          <w:p>
            <w:r>
              <w:rPr>
                <w:sz w:val="16"/>
              </w:rPr>
              <w:t>Restricted — Financial</w:t>
            </w:r>
          </w:p>
        </w:tc>
        <w:tc>
          <w:tcPr>
            <w:tcW w:type="dxa" w:w="2340"/>
          </w:tcPr>
          <w:p>
            <w:r>
              <w:rPr>
                <w:sz w:val="16"/>
              </w:rPr>
              <w:t>Customer table</w:t>
            </w:r>
          </w:p>
        </w:tc>
        <w:tc>
          <w:tcPr>
            <w:tcW w:type="dxa" w:w="2340"/>
          </w:tcPr>
          <w:p>
            <w:r>
              <w:rPr>
                <w:sz w:val="16"/>
              </w:rPr>
              <w:t>Account lifetime</w:t>
            </w:r>
          </w:p>
        </w:tc>
      </w:tr>
      <w:tr>
        <w:tc>
          <w:tcPr>
            <w:tcW w:type="dxa" w:w="2340"/>
          </w:tcPr>
          <w:p>
            <w:r>
              <w:rPr>
                <w:sz w:val="16"/>
              </w:rPr>
              <w:t>Email body, subject</w:t>
            </w:r>
          </w:p>
        </w:tc>
        <w:tc>
          <w:tcPr>
            <w:tcW w:type="dxa" w:w="2340"/>
          </w:tcPr>
          <w:p>
            <w:r>
              <w:rPr>
                <w:sz w:val="16"/>
              </w:rPr>
              <w:t>Confidential — Communications</w:t>
            </w:r>
          </w:p>
        </w:tc>
        <w:tc>
          <w:tcPr>
            <w:tcW w:type="dxa" w:w="2340"/>
          </w:tcPr>
          <w:p>
            <w:r>
              <w:rPr>
                <w:sz w:val="16"/>
              </w:rPr>
              <w:t>CachedEmail table</w:t>
            </w:r>
          </w:p>
        </w:tc>
        <w:tc>
          <w:tcPr>
            <w:tcW w:type="dxa" w:w="2340"/>
          </w:tcPr>
          <w:p>
            <w:r>
              <w:rPr>
                <w:sz w:val="16"/>
              </w:rPr>
              <w:t>90 days or disconnect</w:t>
            </w:r>
          </w:p>
        </w:tc>
      </w:tr>
      <w:tr>
        <w:tc>
          <w:tcPr>
            <w:tcW w:type="dxa" w:w="2340"/>
          </w:tcPr>
          <w:p>
            <w:r>
              <w:rPr>
                <w:sz w:val="16"/>
              </w:rPr>
              <w:t>Meeting transcripts</w:t>
            </w:r>
          </w:p>
        </w:tc>
        <w:tc>
          <w:tcPr>
            <w:tcW w:type="dxa" w:w="2340"/>
          </w:tcPr>
          <w:p>
            <w:r>
              <w:rPr>
                <w:sz w:val="16"/>
              </w:rPr>
              <w:t>Confidential — Communications</w:t>
            </w:r>
          </w:p>
        </w:tc>
        <w:tc>
          <w:tcPr>
            <w:tcW w:type="dxa" w:w="2340"/>
          </w:tcPr>
          <w:p>
            <w:r>
              <w:rPr>
                <w:sz w:val="16"/>
              </w:rPr>
              <w:t>ZoomMeeting table</w:t>
            </w:r>
          </w:p>
        </w:tc>
        <w:tc>
          <w:tcPr>
            <w:tcW w:type="dxa" w:w="2340"/>
          </w:tcPr>
          <w:p>
            <w:r>
              <w:rPr>
                <w:sz w:val="16"/>
              </w:rPr>
              <w:t>90 days</w:t>
            </w:r>
          </w:p>
        </w:tc>
      </w:tr>
      <w:tr>
        <w:tc>
          <w:tcPr>
            <w:tcW w:type="dxa" w:w="2340"/>
          </w:tcPr>
          <w:p>
            <w:r>
              <w:rPr>
                <w:sz w:val="16"/>
              </w:rPr>
              <w:t>Sentiment scores</w:t>
            </w:r>
          </w:p>
        </w:tc>
        <w:tc>
          <w:tcPr>
            <w:tcW w:type="dxa" w:w="2340"/>
          </w:tcPr>
          <w:p>
            <w:r>
              <w:rPr>
                <w:sz w:val="16"/>
              </w:rPr>
              <w:t>Confidential — Derived</w:t>
            </w:r>
          </w:p>
        </w:tc>
        <w:tc>
          <w:tcPr>
            <w:tcW w:type="dxa" w:w="2340"/>
          </w:tcPr>
          <w:p>
            <w:r>
              <w:rPr>
                <w:sz w:val="16"/>
              </w:rPr>
              <w:t>Customer, EmailSentiment</w:t>
            </w:r>
          </w:p>
        </w:tc>
        <w:tc>
          <w:tcPr>
            <w:tcW w:type="dxa" w:w="2340"/>
          </w:tcPr>
          <w:p>
            <w:r>
              <w:rPr>
                <w:sz w:val="16"/>
              </w:rPr>
              <w:t>Account lifetime</w:t>
            </w:r>
          </w:p>
        </w:tc>
      </w:tr>
      <w:tr>
        <w:tc>
          <w:tcPr>
            <w:tcW w:type="dxa" w:w="2340"/>
          </w:tcPr>
          <w:p>
            <w:r>
              <w:rPr>
                <w:sz w:val="16"/>
              </w:rPr>
              <w:t>OAuth tokens</w:t>
            </w:r>
          </w:p>
        </w:tc>
        <w:tc>
          <w:tcPr>
            <w:tcW w:type="dxa" w:w="2340"/>
          </w:tcPr>
          <w:p>
            <w:r>
              <w:rPr>
                <w:sz w:val="16"/>
              </w:rPr>
              <w:t>Restricted — Credentials</w:t>
            </w:r>
          </w:p>
        </w:tc>
        <w:tc>
          <w:tcPr>
            <w:tcW w:type="dxa" w:w="2340"/>
          </w:tcPr>
          <w:p>
            <w:r>
              <w:rPr>
                <w:sz w:val="16"/>
              </w:rPr>
              <w:t>User table</w:t>
            </w:r>
          </w:p>
        </w:tc>
        <w:tc>
          <w:tcPr>
            <w:tcW w:type="dxa" w:w="2340"/>
          </w:tcPr>
          <w:p>
            <w:r>
              <w:rPr>
                <w:sz w:val="16"/>
              </w:rPr>
              <w:t>Until integration disconnected</w:t>
            </w:r>
          </w:p>
        </w:tc>
      </w:tr>
    </w:tbl>
    <w:p>
      <w:pPr>
        <w:pStyle w:val="Heading1"/>
      </w:pPr>
      <w:r>
        <w:t>4. Data Retention and Disposal</w:t>
      </w:r>
    </w:p>
    <w:p>
      <w:pPr>
        <w:pStyle w:val="ListBullet"/>
      </w:pPr>
      <w:r>
        <w:t>Active accounts: Data retained for the lifetime of the account.</w:t>
      </w:r>
    </w:p>
    <w:p>
      <w:pPr>
        <w:pStyle w:val="ListBullet"/>
      </w:pPr>
      <w:r>
        <w:t>Terminated accounts: Customer data deleted within 30 days of account termination unless a longer retention period is required by law or contract.</w:t>
      </w:r>
    </w:p>
    <w:p>
      <w:pPr>
        <w:pStyle w:val="ListBullet"/>
      </w:pPr>
      <w:r>
        <w:t>Email and meeting data: 90-day retention. Purged on integration disconnect or account termination, whichever comes first.</w:t>
      </w:r>
    </w:p>
    <w:p>
      <w:pPr>
        <w:pStyle w:val="ListBullet"/>
      </w:pPr>
      <w:r>
        <w:t>Audit logs: Retained for 1 year for compliance and forensic purposes.</w:t>
      </w:r>
    </w:p>
    <w:p>
      <w:pPr>
        <w:pStyle w:val="ListBullet"/>
      </w:pPr>
      <w:r>
        <w:t>Backups: Weekly exports retained 90 days. Quarterly exports retained permanently for DR purposes.</w:t>
      </w:r>
    </w:p>
    <w:p>
      <w:pPr>
        <w:pStyle w:val="Heading1"/>
      </w:pPr>
      <w:r>
        <w:t>5. Data Subject Rights</w:t>
      </w:r>
    </w:p>
    <w:p>
      <w:r>
        <w:t>CCOPilot.ai supports data subject rights as required by GDPR and CCPA:</w:t>
      </w:r>
    </w:p>
    <w:p>
      <w:pPr>
        <w:pStyle w:val="ListBullet"/>
      </w:pPr>
      <w:r>
        <w:t>Right of Access: Data subjects can request a copy of their personal data via the platform operator.</w:t>
      </w:r>
    </w:p>
    <w:p>
      <w:pPr>
        <w:pStyle w:val="ListBullet"/>
      </w:pPr>
      <w:r>
        <w:t>Right to Rectification: Inaccurate data can be corrected through the platform UI or by contacting support.</w:t>
      </w:r>
    </w:p>
    <w:p>
      <w:pPr>
        <w:pStyle w:val="ListBullet"/>
      </w:pPr>
      <w:r>
        <w:t>Right to Deletion: Data subjects can request deletion of their personal data. Processed within 30 days.</w:t>
      </w:r>
    </w:p>
    <w:p>
      <w:pPr>
        <w:pStyle w:val="ListBullet"/>
      </w:pPr>
      <w:r>
        <w:t>Right to Portability: Data can be exported in standard formats (JSON, CSV) on request.</w:t>
      </w:r>
    </w:p>
    <w:p/>
    <w:p>
      <w:pPr>
        <w:jc w:val="center"/>
      </w:pPr>
      <w:r>
        <w:rPr>
          <w:color w:val="4A5668"/>
          <w:sz w:val="16"/>
        </w:rPr>
        <w:t>Data Classification &amp; Handling Policy (POL-DCH-007) v1.0</w:t>
        <w:br/>
        <w:t>© 2026 CCO2go.ai | CCOPilot.ai</w:t>
        <w:br/>
        <w:t>shane.james@cco2go.ai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34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87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