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460"/>
          <w:sz w:val="48"/>
        </w:rPr>
        <w:t>CCOPilot.ai</w:t>
      </w:r>
    </w:p>
    <w:p>
      <w:pPr>
        <w:jc w:val="center"/>
      </w:pPr>
      <w:r>
        <w:rPr>
          <w:color w:val="4A5668"/>
          <w:sz w:val="32"/>
        </w:rPr>
        <w:t>Acceptable Use Policy</w:t>
      </w:r>
    </w:p>
    <w:p>
      <w:pPr>
        <w:jc w:val="center"/>
      </w:pPr>
      <w:r>
        <w:rPr>
          <w:color w:val="1687A7"/>
          <w:sz w:val="22"/>
        </w:rPr>
        <w:t>Policy ID: POL-AUP-008</w:t>
      </w:r>
    </w:p>
    <w:p>
      <w:pPr>
        <w:jc w:val="center"/>
      </w:pPr>
      <w:r>
        <w:rPr>
          <w:color w:val="4A5668"/>
          <w:sz w:val="20"/>
        </w:rPr>
        <w:t>Version 1.0 | March 25, 2026</w:t>
      </w:r>
    </w:p>
    <w:p>
      <w:pPr>
        <w:jc w:val="center"/>
      </w:pPr>
      <w:r>
        <w:rPr>
          <w:b/>
          <w:color w:val="CC0000"/>
          <w:sz w:val="20"/>
        </w:rPr>
        <w:t>Classification: INTERNAL</w:t>
      </w:r>
    </w:p>
    <w:p/>
    <w:p/>
    <w:p/>
    <w:p/>
    <w:p>
      <w:pPr>
        <w:jc w:val="center"/>
      </w:pPr>
      <w:r>
        <w:rPr>
          <w:color w:val="4A5668"/>
          <w:sz w:val="18"/>
        </w:rPr>
        <w:t>CCO2go.ai | Powered by CCOPilot.ai</w:t>
      </w:r>
    </w:p>
    <w:p>
      <w:r>
        <w:br w:type="page"/>
      </w:r>
    </w:p>
    <w:p>
      <w:pPr>
        <w:pStyle w:val="Heading1"/>
      </w:pPr>
      <w:r>
        <w:t>Document Control</w:t>
      </w:r>
    </w:p>
    <w:tbl>
      <w:tblPr>
        <w:tblW w:type="auto" w:w="0"/>
        <w:tblLook w:firstColumn="1" w:firstRow="1" w:lastColumn="0" w:lastRow="0" w:noHBand="0" w:noVBand="1" w:val="04A0"/>
      </w:tblPr>
      <w:tblGrid>
        <w:gridCol w:w="4680"/>
        <w:gridCol w:w="4680"/>
      </w:tblGrid>
      <w:tr>
        <w:tc>
          <w:tcPr>
            <w:tcW w:type="dxa" w:w="4680"/>
            <w:shd w:fill="E8F4F8" w:val="clear"/>
          </w:tcPr>
          <w:p>
            <w:r>
              <w:rPr>
                <w:b/>
                <w:sz w:val="18"/>
              </w:rPr>
              <w:t>Policy ID</w:t>
            </w:r>
          </w:p>
        </w:tc>
        <w:tc>
          <w:tcPr>
            <w:tcW w:type="dxa" w:w="4680"/>
            <w:shd w:fill="E8F4F8" w:val="clear"/>
          </w:tcPr>
          <w:p>
            <w:r>
              <w:rPr>
                <w:sz w:val="18"/>
              </w:rPr>
              <w:t>POL-AUP-008</w:t>
            </w:r>
          </w:p>
        </w:tc>
      </w:tr>
      <w:tr>
        <w:tc>
          <w:tcPr>
            <w:tcW w:type="dxa" w:w="4680"/>
          </w:tcPr>
          <w:p>
            <w:r>
              <w:rPr>
                <w:b/>
                <w:sz w:val="18"/>
              </w:rPr>
              <w:t>Policy Name</w:t>
            </w:r>
          </w:p>
        </w:tc>
        <w:tc>
          <w:tcPr>
            <w:tcW w:type="dxa" w:w="4680"/>
          </w:tcPr>
          <w:p>
            <w:r>
              <w:rPr>
                <w:sz w:val="18"/>
              </w:rPr>
              <w:t>Acceptable Use Policy</w:t>
            </w:r>
          </w:p>
        </w:tc>
      </w:tr>
      <w:tr>
        <w:tc>
          <w:tcPr>
            <w:tcW w:type="dxa" w:w="4680"/>
          </w:tcPr>
          <w:p>
            <w:r>
              <w:rPr>
                <w:b/>
                <w:sz w:val="18"/>
              </w:rPr>
              <w:t>Version</w:t>
            </w:r>
          </w:p>
        </w:tc>
        <w:tc>
          <w:tcPr>
            <w:tcW w:type="dxa" w:w="4680"/>
          </w:tcPr>
          <w:p>
            <w:r>
              <w:rPr>
                <w:sz w:val="18"/>
              </w:rPr>
              <w:t>1.0</w:t>
            </w:r>
          </w:p>
        </w:tc>
      </w:tr>
      <w:tr>
        <w:tc>
          <w:tcPr>
            <w:tcW w:type="dxa" w:w="4680"/>
          </w:tcPr>
          <w:p>
            <w:r>
              <w:rPr>
                <w:b/>
                <w:sz w:val="18"/>
              </w:rPr>
              <w:t>Effective Date</w:t>
            </w:r>
          </w:p>
        </w:tc>
        <w:tc>
          <w:tcPr>
            <w:tcW w:type="dxa" w:w="4680"/>
          </w:tcPr>
          <w:p>
            <w:r>
              <w:rPr>
                <w:sz w:val="18"/>
              </w:rPr>
              <w:t>March 25, 2026</w:t>
            </w:r>
          </w:p>
        </w:tc>
      </w:tr>
      <w:tr>
        <w:tc>
          <w:tcPr>
            <w:tcW w:type="dxa" w:w="4680"/>
          </w:tcPr>
          <w:p>
            <w:r>
              <w:rPr>
                <w:b/>
                <w:sz w:val="18"/>
              </w:rPr>
              <w:t>Last Review</w:t>
            </w:r>
          </w:p>
        </w:tc>
        <w:tc>
          <w:tcPr>
            <w:tcW w:type="dxa" w:w="4680"/>
          </w:tcPr>
          <w:p>
            <w:r>
              <w:rPr>
                <w:sz w:val="18"/>
              </w:rPr>
              <w:t>March 25, 2026</w:t>
            </w:r>
          </w:p>
        </w:tc>
      </w:tr>
      <w:tr>
        <w:tc>
          <w:tcPr>
            <w:tcW w:type="dxa" w:w="4680"/>
          </w:tcPr>
          <w:p>
            <w:r>
              <w:rPr>
                <w:b/>
                <w:sz w:val="18"/>
              </w:rPr>
              <w:t>Next Review</w:t>
            </w:r>
          </w:p>
        </w:tc>
        <w:tc>
          <w:tcPr>
            <w:tcW w:type="dxa" w:w="4680"/>
          </w:tcPr>
          <w:p>
            <w:r>
              <w:rPr>
                <w:sz w:val="18"/>
              </w:rPr>
              <w:t>June 25, 2026 (Quarterly)</w:t>
            </w:r>
          </w:p>
        </w:tc>
      </w:tr>
      <w:tr>
        <w:tc>
          <w:tcPr>
            <w:tcW w:type="dxa" w:w="4680"/>
          </w:tcPr>
          <w:p>
            <w:r>
              <w:rPr>
                <w:b/>
                <w:sz w:val="18"/>
              </w:rPr>
              <w:t>Owner</w:t>
            </w:r>
          </w:p>
        </w:tc>
        <w:tc>
          <w:tcPr>
            <w:tcW w:type="dxa" w:w="4680"/>
          </w:tcPr>
          <w:p>
            <w:r>
              <w:rPr>
                <w:sz w:val="18"/>
              </w:rPr>
              <w:t>Shane James, CEO</w:t>
            </w:r>
          </w:p>
        </w:tc>
      </w:tr>
      <w:tr>
        <w:tc>
          <w:tcPr>
            <w:tcW w:type="dxa" w:w="4680"/>
          </w:tcPr>
          <w:p>
            <w:r>
              <w:rPr>
                <w:b/>
                <w:sz w:val="18"/>
              </w:rPr>
              <w:t>Approved By</w:t>
            </w:r>
          </w:p>
        </w:tc>
        <w:tc>
          <w:tcPr>
            <w:tcW w:type="dxa" w:w="4680"/>
          </w:tcPr>
          <w:p>
            <w:r>
              <w:rPr>
                <w:sz w:val="18"/>
              </w:rPr>
              <w:t>_______________________ (Signature &amp; Date)</w:t>
            </w:r>
          </w:p>
        </w:tc>
      </w:tr>
    </w:tbl>
    <w:p/>
    <w:p>
      <w:pPr>
        <w:pStyle w:val="Heading2"/>
      </w:pPr>
      <w:r>
        <w:t>Revision History</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Version</w:t>
            </w:r>
          </w:p>
        </w:tc>
        <w:tc>
          <w:tcPr>
            <w:tcW w:type="dxa" w:w="2340"/>
            <w:shd w:fill="0F3460" w:val="clear"/>
          </w:tcPr>
          <w:p>
            <w:r>
              <w:rPr>
                <w:b/>
                <w:color w:val="FFFFFF"/>
                <w:sz w:val="18"/>
              </w:rPr>
              <w:t>Date</w:t>
            </w:r>
          </w:p>
        </w:tc>
        <w:tc>
          <w:tcPr>
            <w:tcW w:type="dxa" w:w="2340"/>
            <w:shd w:fill="0F3460" w:val="clear"/>
          </w:tcPr>
          <w:p>
            <w:r>
              <w:rPr>
                <w:b/>
                <w:color w:val="FFFFFF"/>
                <w:sz w:val="18"/>
              </w:rPr>
              <w:t>Author</w:t>
            </w:r>
          </w:p>
        </w:tc>
        <w:tc>
          <w:tcPr>
            <w:tcW w:type="dxa" w:w="2340"/>
            <w:shd w:fill="0F3460" w:val="clear"/>
          </w:tcPr>
          <w:p>
            <w:r>
              <w:rPr>
                <w:b/>
                <w:color w:val="FFFFFF"/>
                <w:sz w:val="18"/>
              </w:rPr>
              <w:t>Changes</w:t>
            </w:r>
          </w:p>
        </w:tc>
      </w:tr>
      <w:tr>
        <w:tc>
          <w:tcPr>
            <w:tcW w:type="dxa" w:w="2340"/>
          </w:tcPr>
          <w:p>
            <w:r>
              <w:rPr>
                <w:sz w:val="18"/>
              </w:rPr>
              <w:t>1.0</w:t>
            </w:r>
          </w:p>
        </w:tc>
        <w:tc>
          <w:tcPr>
            <w:tcW w:type="dxa" w:w="2340"/>
          </w:tcPr>
          <w:p>
            <w:r>
              <w:rPr>
                <w:sz w:val="18"/>
              </w:rPr>
              <w:t>March 25, 2026</w:t>
            </w:r>
          </w:p>
        </w:tc>
        <w:tc>
          <w:tcPr>
            <w:tcW w:type="dxa" w:w="2340"/>
          </w:tcPr>
          <w:p>
            <w:r>
              <w:rPr>
                <w:sz w:val="18"/>
              </w:rPr>
              <w:t>Shane James</w:t>
            </w:r>
          </w:p>
        </w:tc>
        <w:tc>
          <w:tcPr>
            <w:tcW w:type="dxa" w:w="2340"/>
          </w:tcPr>
          <w:p>
            <w:r>
              <w:rPr>
                <w:sz w:val="18"/>
              </w:rPr>
              <w:t>Initial policy creation</w:t>
            </w:r>
          </w:p>
        </w:tc>
      </w:tr>
    </w:tbl>
    <w:p/>
    <w:p>
      <w:pPr>
        <w:pStyle w:val="Heading1"/>
      </w:pPr>
      <w:r>
        <w:t>1. Purpose</w:t>
      </w:r>
    </w:p>
    <w:p>
      <w:r>
        <w:t>This policy defines the acceptable use of CCOPilot.ai systems, data, and resources by all personnel. It sets clear expectations for responsible behavior and prohibits activities that could compromise the security, integrity, or availability of the platform.</w:t>
      </w:r>
    </w:p>
    <w:p>
      <w:pPr>
        <w:pStyle w:val="Heading1"/>
      </w:pPr>
      <w:r>
        <w:t>2. Scope</w:t>
      </w:r>
    </w:p>
    <w:p>
      <w:r>
        <w:t>This policy applies to all employees, contractors, and third parties who access CCOPilot.ai systems, including the production platform, development environments, infrastructure services (Render, Doppler, GitHub), and company-provided devices and accounts.</w:t>
      </w:r>
    </w:p>
    <w:p>
      <w:pPr>
        <w:pStyle w:val="Heading1"/>
      </w:pPr>
      <w:r>
        <w:t>3. Acceptable Use</w:t>
      </w:r>
    </w:p>
    <w:p>
      <w:r>
        <w:t>Personnel may use CCOPilot.ai systems for:</w:t>
      </w:r>
    </w:p>
    <w:p>
      <w:pPr>
        <w:pStyle w:val="ListBullet"/>
      </w:pPr>
      <w:r>
        <w:t>Performing authorized job duties related to platform development, operations, and customer support.</w:t>
      </w:r>
    </w:p>
    <w:p>
      <w:pPr>
        <w:pStyle w:val="ListBullet"/>
      </w:pPr>
      <w:r>
        <w:t>Accessing customer data as necessary to fulfill their role, consistent with the Access Control Policy.</w:t>
      </w:r>
    </w:p>
    <w:p>
      <w:pPr>
        <w:pStyle w:val="ListBullet"/>
      </w:pPr>
      <w:r>
        <w:t>Testing and development activities in designated non-production environments.</w:t>
      </w:r>
    </w:p>
    <w:p>
      <w:pPr>
        <w:pStyle w:val="ListBullet"/>
      </w:pPr>
      <w:r>
        <w:t>Communicating with customers and team members through authorized channels.</w:t>
      </w:r>
    </w:p>
    <w:p>
      <w:pPr>
        <w:pStyle w:val="Heading1"/>
      </w:pPr>
      <w:r>
        <w:t>4. Prohibited Activities</w:t>
      </w:r>
    </w:p>
    <w:p>
      <w:r>
        <w:t>The following activities are strictly prohibited:</w:t>
      </w:r>
    </w:p>
    <w:p>
      <w:pPr>
        <w:pStyle w:val="Heading2"/>
      </w:pPr>
      <w:r>
        <w:t>4.1 Data Handling Violations</w:t>
      </w:r>
    </w:p>
    <w:p>
      <w:pPr>
        <w:pStyle w:val="ListBullet"/>
      </w:pPr>
      <w:r>
        <w:t>Accessing customer data without a legitimate business need.</w:t>
      </w:r>
    </w:p>
    <w:p>
      <w:pPr>
        <w:pStyle w:val="ListBullet"/>
      </w:pPr>
      <w:r>
        <w:t>Sharing customer data with unauthorized parties, including other customers.</w:t>
      </w:r>
    </w:p>
    <w:p>
      <w:pPr>
        <w:pStyle w:val="ListBullet"/>
      </w:pPr>
      <w:r>
        <w:t>Copying customer data to personal devices, accounts, or unauthorized storage.</w:t>
      </w:r>
    </w:p>
    <w:p>
      <w:pPr>
        <w:pStyle w:val="ListBullet"/>
      </w:pPr>
      <w:r>
        <w:t>Using customer data for purposes other than providing CCOPilot services.</w:t>
      </w:r>
    </w:p>
    <w:p>
      <w:pPr>
        <w:pStyle w:val="ListBullet"/>
      </w:pPr>
      <w:r>
        <w:t>Circumventing multi-tenant isolation controls.</w:t>
      </w:r>
    </w:p>
    <w:p>
      <w:pPr>
        <w:pStyle w:val="Heading2"/>
      </w:pPr>
      <w:r>
        <w:t>4.2 Security Violations</w:t>
      </w:r>
    </w:p>
    <w:p>
      <w:pPr>
        <w:pStyle w:val="ListBullet"/>
      </w:pPr>
      <w:r>
        <w:t>Sharing login credentials, API keys, or access tokens with others.</w:t>
      </w:r>
    </w:p>
    <w:p>
      <w:pPr>
        <w:pStyle w:val="ListBullet"/>
      </w:pPr>
      <w:r>
        <w:t>Storing secrets, passwords, or API keys in source code, email, chat, or documents.</w:t>
      </w:r>
    </w:p>
    <w:p>
      <w:pPr>
        <w:pStyle w:val="ListBullet"/>
      </w:pPr>
      <w:r>
        <w:t>Disabling or circumventing security controls (CSRF protection, rate limiting, CSP headers, tenant isolation).</w:t>
      </w:r>
    </w:p>
    <w:p>
      <w:pPr>
        <w:pStyle w:val="ListBullet"/>
      </w:pPr>
      <w:r>
        <w:t>Installing unauthorized software on systems that access production data.</w:t>
      </w:r>
    </w:p>
    <w:p>
      <w:pPr>
        <w:pStyle w:val="ListBullet"/>
      </w:pPr>
      <w:r>
        <w:t>Attempting to access systems or data beyond authorized permissions.</w:t>
      </w:r>
    </w:p>
    <w:p>
      <w:pPr>
        <w:pStyle w:val="Heading2"/>
      </w:pPr>
      <w:r>
        <w:t>4.3 Infrastructure Violations</w:t>
      </w:r>
    </w:p>
    <w:p>
      <w:pPr>
        <w:pStyle w:val="ListBullet"/>
      </w:pPr>
      <w:r>
        <w:t>Making changes to production infrastructure without following the Change Management Policy.</w:t>
      </w:r>
    </w:p>
    <w:p>
      <w:pPr>
        <w:pStyle w:val="ListBullet"/>
      </w:pPr>
      <w:r>
        <w:t>Deploying untested code directly to production (except Emergency Changes per the Change Management Policy).</w:t>
      </w:r>
    </w:p>
    <w:p>
      <w:pPr>
        <w:pStyle w:val="ListBullet"/>
      </w:pPr>
      <w:r>
        <w:t>Modifying database records directly (bypassing the application layer) without documented justification and CEO approval.</w:t>
      </w:r>
    </w:p>
    <w:p>
      <w:pPr>
        <w:pStyle w:val="ListBullet"/>
      </w:pPr>
      <w:r>
        <w:t>Deleting or modifying audit logs, monitoring data, or backup files.</w:t>
      </w:r>
    </w:p>
    <w:p>
      <w:pPr>
        <w:pStyle w:val="Heading2"/>
      </w:pPr>
      <w:r>
        <w:t>4.4 AI and Automation</w:t>
      </w:r>
    </w:p>
    <w:p>
      <w:pPr>
        <w:pStyle w:val="ListBullet"/>
      </w:pPr>
      <w:r>
        <w:t>Configuring AI agents to send customer-facing communications without human approval.</w:t>
      </w:r>
    </w:p>
    <w:p>
      <w:pPr>
        <w:pStyle w:val="ListBullet"/>
      </w:pPr>
      <w:r>
        <w:t>Using the platform AI to generate content that is deceptive, discriminatory, or harmful.</w:t>
      </w:r>
    </w:p>
    <w:p>
      <w:pPr>
        <w:pStyle w:val="ListBullet"/>
      </w:pPr>
      <w:r>
        <w:t>Disabling the Agent Queue approval workflow for customer-affecting actions.</w:t>
      </w:r>
    </w:p>
    <w:p>
      <w:pPr>
        <w:pStyle w:val="ListBullet"/>
      </w:pPr>
      <w:r>
        <w:t>Using customer data to train external AI models without explicit customer consent.</w:t>
      </w:r>
    </w:p>
    <w:p>
      <w:pPr>
        <w:pStyle w:val="Heading1"/>
      </w:pPr>
      <w:r>
        <w:t>5. Reporting Obligations</w:t>
      </w:r>
    </w:p>
    <w:p>
      <w:r>
        <w:t>All personnel must immediately report:</w:t>
      </w:r>
    </w:p>
    <w:p>
      <w:pPr>
        <w:pStyle w:val="ListBullet"/>
      </w:pPr>
      <w:r>
        <w:t>Suspected security incidents or data breaches.</w:t>
      </w:r>
    </w:p>
    <w:p>
      <w:pPr>
        <w:pStyle w:val="ListBullet"/>
      </w:pPr>
      <w:r>
        <w:t>Lost or stolen devices that had access to CCOPilot systems.</w:t>
      </w:r>
    </w:p>
    <w:p>
      <w:pPr>
        <w:pStyle w:val="ListBullet"/>
      </w:pPr>
      <w:r>
        <w:t>Phishing attempts or social engineering targeting CCOPilot personnel.</w:t>
      </w:r>
    </w:p>
    <w:p>
      <w:pPr>
        <w:pStyle w:val="ListBullet"/>
      </w:pPr>
      <w:r>
        <w:t>Any observed violation of this policy or other security policies.</w:t>
      </w:r>
    </w:p>
    <w:p>
      <w:r>
        <w:t>Reports should be made to the CEO (shane.james@cco2go.ai) immediately upon discovery. There is no penalty for good-faith reporting of suspected incidents.</w:t>
      </w:r>
    </w:p>
    <w:p>
      <w:pPr>
        <w:pStyle w:val="Heading1"/>
      </w:pPr>
      <w:r>
        <w:t>6. Personal Device Usage</w:t>
      </w:r>
    </w:p>
    <w:p>
      <w:pPr>
        <w:pStyle w:val="ListBullet"/>
      </w:pPr>
      <w:r>
        <w:t>Personal devices used to access CCOPilot systems must have: up-to-date operating system and security patches, screen lock enabled with PIN/password/biometric, encrypted storage (FileVault on Mac, BitLocker on Windows).</w:t>
      </w:r>
    </w:p>
    <w:p>
      <w:pPr>
        <w:pStyle w:val="ListBullet"/>
      </w:pPr>
      <w:r>
        <w:t>Do not access CCOPilot production systems on public or untrusted Wi-Fi without a VPN.</w:t>
      </w:r>
    </w:p>
    <w:p>
      <w:pPr>
        <w:pStyle w:val="ListBullet"/>
      </w:pPr>
      <w:r>
        <w:t>Do not leave devices unattended while logged into CCOPilot infrastructure services.</w:t>
      </w:r>
    </w:p>
    <w:p>
      <w:pPr>
        <w:pStyle w:val="Heading1"/>
      </w:pPr>
      <w:r>
        <w:t>7. Security Awareness</w:t>
      </w:r>
    </w:p>
    <w:p>
      <w:pPr>
        <w:pStyle w:val="ListBullet"/>
      </w:pPr>
      <w:r>
        <w:t>All personnel must complete security awareness training within 30 days of onboarding and annually thereafter.</w:t>
      </w:r>
    </w:p>
    <w:p>
      <w:pPr>
        <w:pStyle w:val="ListBullet"/>
      </w:pPr>
      <w:r>
        <w:t>Training covers: phishing recognition, credential hygiene, secure coding practices (for developers), incident reporting, and data handling responsibilities.</w:t>
      </w:r>
    </w:p>
    <w:p>
      <w:pPr>
        <w:pStyle w:val="ListBullet"/>
      </w:pPr>
      <w:r>
        <w:t>Training completion is documented and retained as SOC 2 evidence.</w:t>
      </w:r>
    </w:p>
    <w:p>
      <w:pPr>
        <w:pStyle w:val="Heading1"/>
      </w:pPr>
      <w:r>
        <w:t>8. Enforcement</w:t>
      </w:r>
    </w:p>
    <w:p>
      <w:r>
        <w:t>Violation of this policy may result in: verbal warning (first minor offense), written warning with documented remediation plan, suspension of system access, termination of employment or contract, or legal action if warranted by the severity of the violation.</w:t>
      </w:r>
    </w:p>
    <w:p>
      <w:r>
        <w:t>Severity of enforcement action is proportional to the risk posed by the violation. Intentional violations involving customer data are treated as serious offenses regardless of whether actual harm occurred.</w:t>
      </w:r>
    </w:p>
    <w:p>
      <w:pPr>
        <w:pStyle w:val="Heading1"/>
      </w:pPr>
      <w:r>
        <w:t>9. Acknowledgment</w:t>
      </w:r>
    </w:p>
    <w:p>
      <w:r>
        <w:t>All personnel must acknowledge receipt and understanding of this policy:</w:t>
      </w:r>
    </w:p>
    <w:p/>
    <w:p>
      <w:r>
        <w:t>I have read and understand the CCOPilot.ai Acceptable Use Policy. I agree to comply with all requirements set forth in this policy.</w:t>
      </w:r>
    </w:p>
    <w:p/>
    <w:p>
      <w:r>
        <w:t>Name: _________________________________</w:t>
      </w:r>
    </w:p>
    <w:p>
      <w:r>
        <w:t>Signature: _____________________________</w:t>
      </w:r>
    </w:p>
    <w:p>
      <w:r>
        <w:t>Date: __________________________________</w:t>
      </w:r>
    </w:p>
    <w:p/>
    <w:p>
      <w:pPr>
        <w:jc w:val="center"/>
      </w:pPr>
      <w:r>
        <w:rPr>
          <w:color w:val="4A5668"/>
          <w:sz w:val="16"/>
        </w:rPr>
        <w:t>Acceptable Use Policy (POL-AUP-008) v1.0</w:t>
        <w:br/>
        <w:t>© 2026 CCO2go.ai | CCOPilot.ai</w:t>
        <w:br/>
        <w:t>shane.james@cco2go.ai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34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87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