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Results</w:t>
      </w:r>
    </w:p>
    <w:p>
      <w:pPr>
        <w:pStyle w:val="SourceCode"/>
      </w:pPr>
      <w:r>
        <w:rPr>
          <w:rStyle w:val="VerbatimChar"/>
        </w:rPr>
        <w:t xml:space="preserve">here() starts at /root/repo</w:t>
      </w:r>
    </w:p>
    <w:bookmarkStart w:id="23" w:name="cleaning"/>
    <w:p>
      <w:pPr>
        <w:pStyle w:val="Heading2"/>
      </w:pPr>
      <w:r>
        <w:t xml:space="preserve">Cleaning</w:t>
      </w:r>
    </w:p>
    <w:p>
      <w:pPr>
        <w:pStyle w:val="FirstParagraph"/>
      </w:pPr>
      <w:r>
        <w:t xml:space="preserve">The pipeline kept 137133 of 235016 trials (dropped 97883).</w:t>
      </w:r>
      <w:r>
        <w:t xml:space="preserve"> </w:t>
      </w:r>
      <w:r>
        <w:t xml:space="preserve">Settings: correct-only = TRUE, RT range = 200–2000 ms.</w:t>
      </w:r>
    </w:p>
    <w:p>
      <w:pPr>
        <w:pStyle w:val="SourceCode"/>
      </w:pPr>
      <w:r>
        <w:rPr>
          <w:rStyle w:val="VerbatimChar"/>
        </w:rPr>
        <w:t xml:space="preserve">         setting  value</w:t>
      </w:r>
      <w:r>
        <w:br/>
      </w:r>
      <w:r>
        <w:rPr>
          <w:rStyle w:val="VerbatimChar"/>
        </w:rPr>
        <w:t xml:space="preserve">1   correct_only   TRUE</w:t>
      </w:r>
      <w:r>
        <w:br/>
      </w:r>
      <w:r>
        <w:rPr>
          <w:rStyle w:val="VerbatimChar"/>
        </w:rPr>
        <w:t xml:space="preserve">2      rt_min_ms    200</w:t>
      </w:r>
      <w:r>
        <w:br/>
      </w:r>
      <w:r>
        <w:rPr>
          <w:rStyle w:val="VerbatimChar"/>
        </w:rPr>
        <w:t xml:space="preserve">3      rt_max_ms   2000</w:t>
      </w:r>
      <w:r>
        <w:br/>
      </w:r>
      <w:r>
        <w:rPr>
          <w:rStyle w:val="VerbatimChar"/>
        </w:rPr>
        <w:t xml:space="preserve">4   total_trials 235016</w:t>
      </w:r>
      <w:r>
        <w:br/>
      </w:r>
      <w:r>
        <w:rPr>
          <w:rStyle w:val="VerbatimChar"/>
        </w:rPr>
        <w:t xml:space="preserve">5    kept_trials 137133</w:t>
      </w:r>
      <w:r>
        <w:br/>
      </w:r>
      <w:r>
        <w:rPr>
          <w:rStyle w:val="VerbatimChar"/>
        </w:rPr>
        <w:t xml:space="preserve">6 dropped_trials  97883</w:t>
      </w:r>
    </w:p>
    <w:p>
      <w:pPr>
        <w:pStyle w:val="FirstParagraph"/>
      </w:pPr>
      <w:r>
        <w:drawing>
          <wp:inline>
            <wp:extent cx="5334000" cy="3333750"/>
            <wp:effectExtent b="0" l="0" r="0" t="0"/>
            <wp:docPr descr="" title="" id="21" name="Picture"/>
            <a:graphic>
              <a:graphicData uri="http://schemas.openxmlformats.org/drawingml/2006/picture">
                <pic:pic>
                  <pic:nvPicPr>
                    <pic:cNvPr descr="../outputs/figures/rt_hist.png" id="22" name="Picture"/>
                    <pic:cNvPicPr>
                      <a:picLocks noChangeArrowheads="1" noChangeAspect="1"/>
                    </pic:cNvPicPr>
                  </pic:nvPicPr>
                  <pic:blipFill>
                    <a:blip r:embed="rId20"/>
                    <a:stretch>
                      <a:fillRect/>
                    </a:stretch>
                  </pic:blipFill>
                  <pic:spPr bwMode="auto">
                    <a:xfrm>
                      <a:off x="0" y="0"/>
                      <a:ext cx="5334000" cy="3333750"/>
                    </a:xfrm>
                    <a:prstGeom prst="rect">
                      <a:avLst/>
                    </a:prstGeom>
                    <a:noFill/>
                    <a:ln w="9525">
                      <a:noFill/>
                      <a:headEnd/>
                      <a:tailEnd/>
                    </a:ln>
                  </pic:spPr>
                </pic:pic>
              </a:graphicData>
            </a:graphic>
          </wp:inline>
        </w:drawing>
      </w:r>
    </w:p>
    <w:bookmarkEnd w:id="23"/>
    <w:bookmarkStart w:id="24" w:name="baseline-model-frequency-and-strokes"/>
    <w:p>
      <w:pPr>
        <w:pStyle w:val="Heading2"/>
      </w:pPr>
      <w:r>
        <w:t xml:space="preserve">Baseline model: frequency and strokes</w:t>
      </w:r>
    </w:p>
    <w:p>
      <w:pPr>
        <w:pStyle w:val="SourceCode"/>
      </w:pPr>
      <w:r>
        <w:rPr>
          <w:rStyle w:val="VerbatimChar"/>
        </w:rPr>
        <w:t xml:space="preserve">       term  estimate</w:t>
      </w:r>
      <w:r>
        <w:br/>
      </w:r>
      <w:r>
        <w:rPr>
          <w:rStyle w:val="VerbatimChar"/>
        </w:rPr>
        <w:t xml:space="preserve">1 intercept  6.452355</w:t>
      </w:r>
      <w:r>
        <w:br/>
      </w:r>
      <w:r>
        <w:rPr>
          <w:rStyle w:val="VerbatimChar"/>
        </w:rPr>
        <w:t xml:space="preserve">2  log_freq -0.070823</w:t>
      </w:r>
      <w:r>
        <w:br/>
      </w:r>
      <w:r>
        <w:rPr>
          <w:rStyle w:val="VerbatimChar"/>
        </w:rPr>
        <w:t xml:space="preserve">3   strokes  0.013355</w:t>
      </w:r>
    </w:p>
    <w:p>
      <w:pPr>
        <w:pStyle w:val="FirstParagraph"/>
      </w:pPr>
      <w:r>
        <w:t xml:space="preserve">R² 0.434; adjusted R² 0.433; residual sigma 0.099.</w:t>
      </w:r>
      <w:r>
        <w:t xml:space="preserve"> </w:t>
      </w:r>
      <w:r>
        <w:t xml:space="preserve">AIC -6851.160, BIC -6826.134.</w:t>
      </w:r>
    </w:p>
    <w:bookmarkEnd w:id="24"/>
    <w:bookmarkStart w:id="28" w:name="X5c144385012ffc61791e86d559dee62f4fdf84a"/>
    <w:p>
      <w:pPr>
        <w:pStyle w:val="Heading2"/>
      </w:pPr>
      <w:r>
        <w:t xml:space="preserve">Subcomponents with whole-character familiarity</w:t>
      </w:r>
    </w:p>
    <w:p>
      <w:pPr>
        <w:pStyle w:val="FirstParagraph"/>
      </w:pPr>
      <w:r>
        <w:t xml:space="preserve">The joint model that adds semantic and phonetic component familiarity explained 0.395 of the variance across 2638 characters, capturing the predicted shift from facilitation at low familiarity to competition at the top of the frequency range (Feldman &amp; Siok, 1999; Liu et al., 2022; McClelland &amp; Rumelhart, 1981; Wang et al., 2025).</w:t>
      </w:r>
    </w:p>
    <w:p>
      <w:pPr>
        <w:pStyle w:val="SourceCode"/>
      </w:pPr>
      <w:r>
        <w:rPr>
          <w:rStyle w:val="VerbatimChar"/>
        </w:rPr>
        <w:t xml:space="preserve">  component      overall_level rt_change_ms rt_change_pct</w:t>
      </w:r>
      <w:r>
        <w:br/>
      </w:r>
      <w:r>
        <w:rPr>
          <w:rStyle w:val="VerbatimChar"/>
        </w:rPr>
        <w:t xml:space="preserve">1  Semantic    Low (20th pct.)        12.83          1.73</w:t>
      </w:r>
      <w:r>
        <w:br/>
      </w:r>
      <w:r>
        <w:rPr>
          <w:rStyle w:val="VerbatimChar"/>
        </w:rPr>
        <w:t xml:space="preserve">2  Semantic Medium (50th pct.)         5.50          0.77</w:t>
      </w:r>
      <w:r>
        <w:br/>
      </w:r>
      <w:r>
        <w:rPr>
          <w:rStyle w:val="VerbatimChar"/>
        </w:rPr>
        <w:t xml:space="preserve">3  Semantic   High (80th pct.)       -13.08         -2.04</w:t>
      </w:r>
      <w:r>
        <w:br/>
      </w:r>
      <w:r>
        <w:rPr>
          <w:rStyle w:val="VerbatimChar"/>
        </w:rPr>
        <w:t xml:space="preserve">4  Phonetic    Low (20th pct.)        26.89          3.60</w:t>
      </w:r>
      <w:r>
        <w:br/>
      </w:r>
      <w:r>
        <w:rPr>
          <w:rStyle w:val="VerbatimChar"/>
        </w:rPr>
        <w:t xml:space="preserve">5  Phonetic Medium (50th pct.)        13.06          1.82</w:t>
      </w:r>
      <w:r>
        <w:br/>
      </w:r>
      <w:r>
        <w:rPr>
          <w:rStyle w:val="VerbatimChar"/>
        </w:rPr>
        <w:t xml:space="preserve">6  Phonetic   High (80th pct.)       -22.18         -3.46</w:t>
      </w:r>
    </w:p>
    <w:p>
      <w:pPr>
        <w:pStyle w:val="FirstParagraph"/>
      </w:pPr>
      <w:r>
        <w:t xml:space="preserve">Positive values indicate speed-ups when the component moves from the 20th to the 80th percentile of its familiarity distribution (holding other predictors at their medians); negative values denote slow-downs because highly familiar components introduce more lexical competitors near the ceiling of overall familiarity, aligning with interactive activation accounts of neighbor conflict (McClelland &amp; Rumelhart, 1981).</w:t>
      </w:r>
    </w:p>
    <w:p>
      <w:pPr>
        <w:pStyle w:val="BodyText"/>
      </w:pPr>
      <w:r>
        <w:drawing>
          <wp:inline>
            <wp:extent cx="5334000" cy="3259666"/>
            <wp:effectExtent b="0" l="0" r="0" t="0"/>
            <wp:docPr descr="" title="" id="26" name="Picture"/>
            <a:graphic>
              <a:graphicData uri="http://schemas.openxmlformats.org/drawingml/2006/picture">
                <pic:pic>
                  <pic:nvPicPr>
                    <pic:cNvPr descr="../outputs/figures/component_familiarity_effects.png" id="27" name="Picture"/>
                    <pic:cNvPicPr>
                      <a:picLocks noChangeArrowheads="1" noChangeAspect="1"/>
                    </pic:cNvPicPr>
                  </pic:nvPicPr>
                  <pic:blipFill>
                    <a:blip r:embed="rId25"/>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t xml:space="preserve">The effect curves show that when overall familiarity is low-to-moderate, familiar phonetic parts provide up to a 26.89 ms advantage (about 3.6%), while comparable semantic advantages taper to roughly 5.5 ms by the median familiarity tier. At the highest familiarity tier, both components flip sign (−22.18 to −13.08 ms), consistent with the competition predicted by structured learning paths (Liu et al., 2022; Wang et al., 2025).</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dc:title>
  <dc:creator/>
  <cp:keywords/>
  <dcterms:created xsi:type="dcterms:W3CDTF">2025-11-07T20:16:05Z</dcterms:created>
  <dcterms:modified xsi:type="dcterms:W3CDTF">2025-11-07T20:16:05Z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