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Layout w:type="fixed"/>
        <w:tblCellMar>
          <w:top w:w="0" w:type="dxa"/>
          <w:left w:w="108" w:type="dxa"/>
          <w:bottom w:w="0" w:type="dxa"/>
          <w:right w:w="108" w:type="dxa"/>
        </w:tblCellMar>
      </w:tblPr>
      <w:tblGrid>
        <w:gridCol w:w="9866"/>
      </w:tblGrid>
      <w:tr>
        <w:trPr>
          <w:jc w:val="center"/>
        </w:trPr>
        <w:tc>
          <w:tcPr>
            <w:tcW w:w="9638" w:type="dxa"/>
            <w:tcBorders>
              <w:top w:val="nil"/>
              <w:left w:val="nil"/>
              <w:bottom w:val="nil"/>
              <w:right w:val="nil"/>
            </w:tcBorders>
            <w:shd w:val="clear" w:color="auto" w:fill="1F4E79"/>
          </w:tcPr>
          <w:p>
            <w:r>
              <w:t xml:space="preserve"> </w:t>
            </w:r>
          </w:p>
        </w:tc>
      </w:tr>
    </w:tbl>
    <w:p>
      <w:pPr>
        <w:spacing w:before="200" w:after="0"/>
        <w:jc w:val="left"/>
      </w:pPr>
      <w:r>
        <w:rPr>
          <w:rFonts w:ascii="Calibri" w:hAnsi="Calibri" w:eastAsia="Calibri"/>
          <w:b/>
          <w:i w:val="0"/>
          <w:color w:val="1F4E79"/>
          <w:sz w:val="44"/>
        </w:rPr>
        <w:t>What predicts lexical decision speed?</w:t>
      </w:r>
    </w:p>
    <w:p>
      <w:pPr>
        <w:spacing w:before="40" w:after="160"/>
      </w:pPr>
      <w:r>
        <w:rPr>
          <w:rFonts w:ascii="Calibri" w:hAnsi="Calibri" w:eastAsia="Calibri"/>
          <w:b w:val="0"/>
          <w:i w:val="0"/>
          <w:color w:val="5E6A71"/>
          <w:sz w:val="23"/>
        </w:rPr>
        <w:t>Student workshop guide for a 90-minute Jamovi session</w:t>
      </w:r>
    </w:p>
    <w:tbl>
      <w:tblPr>
        <w:tblStyle w:val="12"/>
        <w:tblW w:w="0" w:type="auto"/>
        <w:jc w:val="center"/>
        <w:tblLayout w:type="fixed"/>
        <w:tblCellMar>
          <w:top w:w="0" w:type="dxa"/>
          <w:left w:w="108" w:type="dxa"/>
          <w:bottom w:w="0" w:type="dxa"/>
          <w:right w:w="108" w:type="dxa"/>
        </w:tblCellMar>
      </w:tblPr>
      <w:tblGrid>
        <w:gridCol w:w="1639"/>
        <w:gridCol w:w="3293"/>
        <w:gridCol w:w="2466"/>
        <w:gridCol w:w="2466"/>
      </w:tblGrid>
      <w:tr>
        <w:tblPrEx>
          <w:tblCellMar>
            <w:top w:w="0" w:type="dxa"/>
            <w:left w:w="108" w:type="dxa"/>
            <w:bottom w:w="0" w:type="dxa"/>
            <w:right w:w="108" w:type="dxa"/>
          </w:tblCellMar>
        </w:tblPrEx>
        <w:trPr>
          <w:jc w:val="center"/>
        </w:trPr>
        <w:tc>
          <w:tcPr>
            <w:tcW w:w="1639" w:type="dxa"/>
            <w:tcBorders>
              <w:top w:val="single" w:color="1F4E79" w:sz="8" w:space="0"/>
              <w:left w:val="single" w:color="1F4E79" w:sz="8" w:space="0"/>
              <w:bottom w:val="single" w:color="1F4E79" w:sz="8" w:space="0"/>
              <w:right w:val="single" w:color="1F4E79" w:sz="8" w:space="0"/>
            </w:tcBorders>
            <w:shd w:val="clear" w:color="auto" w:fill="EAF2F8"/>
            <w:tcMar>
              <w:top w:w="80" w:type="dxa"/>
              <w:left w:w="110" w:type="dxa"/>
              <w:bottom w:w="80" w:type="dxa"/>
              <w:right w:w="110" w:type="dxa"/>
            </w:tcMar>
            <w:vAlign w:val="center"/>
          </w:tcPr>
          <w:p>
            <w:pPr>
              <w:spacing w:after="0"/>
            </w:pPr>
            <w:r>
              <w:rPr>
                <w:rFonts w:ascii="Calibri" w:hAnsi="Calibri" w:eastAsia="Calibri"/>
                <w:b/>
                <w:i w:val="0"/>
                <w:color w:val="2F6E9E"/>
                <w:sz w:val="16"/>
              </w:rPr>
              <w:t>Software</w:t>
            </w:r>
            <w:r>
              <w:rPr>
                <w:rFonts w:ascii="Calibri" w:hAnsi="Calibri" w:eastAsia="Calibri"/>
                <w:b/>
                <w:i w:val="0"/>
                <w:color w:val="2F6E9E"/>
                <w:sz w:val="16"/>
              </w:rPr>
              <w:br w:type="textWrapping"/>
            </w:r>
            <w:r>
              <w:rPr>
                <w:rFonts w:ascii="Calibri" w:hAnsi="Calibri" w:eastAsia="Calibri"/>
                <w:b w:val="0"/>
                <w:i w:val="0"/>
                <w:color w:val="222222"/>
                <w:sz w:val="20"/>
              </w:rPr>
              <w:t>Jamovi</w:t>
            </w:r>
          </w:p>
        </w:tc>
        <w:tc>
          <w:tcPr>
            <w:tcW w:w="3293" w:type="dxa"/>
            <w:tcBorders>
              <w:top w:val="single" w:color="1F4E79" w:sz="8" w:space="0"/>
              <w:left w:val="single" w:color="1F4E79" w:sz="8" w:space="0"/>
              <w:bottom w:val="single" w:color="1F4E79" w:sz="8" w:space="0"/>
              <w:right w:val="single" w:color="1F4E79" w:sz="8" w:space="0"/>
            </w:tcBorders>
            <w:shd w:val="clear" w:color="auto" w:fill="EAF2F8"/>
            <w:tcMar>
              <w:top w:w="80" w:type="dxa"/>
              <w:left w:w="110" w:type="dxa"/>
              <w:bottom w:w="80" w:type="dxa"/>
              <w:right w:w="110" w:type="dxa"/>
            </w:tcMar>
            <w:vAlign w:val="center"/>
          </w:tcPr>
          <w:p>
            <w:pPr>
              <w:spacing w:after="0"/>
            </w:pPr>
            <w:r>
              <w:rPr>
                <w:rFonts w:ascii="Calibri" w:hAnsi="Calibri" w:eastAsia="Calibri"/>
                <w:b/>
                <w:i w:val="0"/>
                <w:color w:val="2F6E9E"/>
                <w:sz w:val="16"/>
              </w:rPr>
              <w:t>Core file</w:t>
            </w:r>
            <w:r>
              <w:rPr>
                <w:rFonts w:ascii="Calibri" w:hAnsi="Calibri" w:eastAsia="Calibri"/>
                <w:b/>
                <w:i w:val="0"/>
                <w:color w:val="2F6E9E"/>
                <w:sz w:val="16"/>
              </w:rPr>
              <w:br w:type="textWrapping"/>
            </w:r>
            <w:r>
              <w:rPr>
                <w:rFonts w:ascii="Calibri" w:hAnsi="Calibri" w:eastAsia="Calibri"/>
                <w:b w:val="0"/>
                <w:i w:val="0"/>
                <w:color w:val="222222"/>
                <w:sz w:val="20"/>
              </w:rPr>
              <w:t>elp_lexical_decision_teaching.csv</w:t>
            </w:r>
          </w:p>
        </w:tc>
        <w:tc>
          <w:tcPr>
            <w:tcW w:w="2466" w:type="dxa"/>
            <w:tcBorders>
              <w:top w:val="single" w:color="1F4E79" w:sz="8" w:space="0"/>
              <w:left w:val="single" w:color="1F4E79" w:sz="8" w:space="0"/>
              <w:bottom w:val="single" w:color="1F4E79" w:sz="8" w:space="0"/>
              <w:right w:val="single" w:color="1F4E79" w:sz="8" w:space="0"/>
            </w:tcBorders>
            <w:shd w:val="clear" w:color="auto" w:fill="EAF2F8"/>
            <w:tcMar>
              <w:top w:w="80" w:type="dxa"/>
              <w:left w:w="110" w:type="dxa"/>
              <w:bottom w:w="80" w:type="dxa"/>
              <w:right w:w="110" w:type="dxa"/>
            </w:tcMar>
            <w:vAlign w:val="center"/>
          </w:tcPr>
          <w:p>
            <w:pPr>
              <w:spacing w:after="0"/>
            </w:pPr>
            <w:r>
              <w:rPr>
                <w:rFonts w:ascii="Calibri" w:hAnsi="Calibri" w:eastAsia="Calibri"/>
                <w:b/>
                <w:i w:val="0"/>
                <w:color w:val="2F6E9E"/>
                <w:sz w:val="16"/>
              </w:rPr>
              <w:t>Mode</w:t>
            </w:r>
            <w:r>
              <w:rPr>
                <w:rFonts w:ascii="Calibri" w:hAnsi="Calibri" w:eastAsia="Calibri"/>
                <w:b/>
                <w:i w:val="0"/>
                <w:color w:val="2F6E9E"/>
                <w:sz w:val="16"/>
              </w:rPr>
              <w:br w:type="textWrapping"/>
            </w:r>
            <w:r>
              <w:rPr>
                <w:rFonts w:ascii="Calibri" w:hAnsi="Calibri" w:eastAsia="Calibri"/>
                <w:b w:val="0"/>
                <w:i w:val="0"/>
                <w:color w:val="222222"/>
                <w:sz w:val="20"/>
              </w:rPr>
              <w:t>Pairs or individual</w:t>
            </w:r>
          </w:p>
        </w:tc>
        <w:tc>
          <w:tcPr>
            <w:tcW w:w="2466" w:type="dxa"/>
            <w:tcBorders>
              <w:top w:val="single" w:color="1F4E79" w:sz="8" w:space="0"/>
              <w:left w:val="single" w:color="1F4E79" w:sz="8" w:space="0"/>
              <w:bottom w:val="single" w:color="1F4E79" w:sz="8" w:space="0"/>
              <w:right w:val="single" w:color="1F4E79" w:sz="8" w:space="0"/>
            </w:tcBorders>
            <w:shd w:val="clear" w:color="auto" w:fill="EAF2F8"/>
            <w:tcMar>
              <w:top w:w="80" w:type="dxa"/>
              <w:left w:w="110" w:type="dxa"/>
              <w:bottom w:w="80" w:type="dxa"/>
              <w:right w:w="110" w:type="dxa"/>
            </w:tcMar>
            <w:vAlign w:val="center"/>
          </w:tcPr>
          <w:p>
            <w:pPr>
              <w:spacing w:after="0"/>
              <w:rPr>
                <w:rFonts w:hint="default"/>
                <w:lang w:val="en-GB"/>
              </w:rPr>
            </w:pPr>
            <w:r>
              <w:rPr>
                <w:rFonts w:ascii="Calibri" w:hAnsi="Calibri" w:eastAsia="Calibri"/>
                <w:b/>
                <w:i w:val="0"/>
                <w:color w:val="2F6E9E"/>
                <w:sz w:val="16"/>
              </w:rPr>
              <w:t>Output</w:t>
            </w:r>
            <w:r>
              <w:rPr>
                <w:rFonts w:ascii="Calibri" w:hAnsi="Calibri" w:eastAsia="Calibri"/>
                <w:b/>
                <w:i w:val="0"/>
                <w:color w:val="2F6E9E"/>
                <w:sz w:val="16"/>
              </w:rPr>
              <w:br w:type="textWrapping"/>
            </w:r>
            <w:r>
              <w:rPr>
                <w:rFonts w:ascii="Calibri" w:hAnsi="Calibri" w:eastAsia="Calibri"/>
                <w:b w:val="0"/>
                <w:i w:val="0"/>
                <w:color w:val="222222"/>
                <w:sz w:val="20"/>
              </w:rPr>
              <w:t>One figure and results paragraph</w:t>
            </w:r>
            <w:r>
              <w:rPr>
                <w:rFonts w:hint="default" w:eastAsia="Calibri"/>
                <w:b w:val="0"/>
                <w:i w:val="0"/>
                <w:color w:val="222222"/>
                <w:sz w:val="20"/>
                <w:lang w:val="en-GB"/>
              </w:rPr>
              <w:t>(s)</w:t>
            </w:r>
          </w:p>
        </w:tc>
      </w:tr>
    </w:tbl>
    <w:p/>
    <w:tbl>
      <w:tblPr>
        <w:tblStyle w:val="12"/>
        <w:tblW w:w="0" w:type="auto"/>
        <w:jc w:val="center"/>
        <w:tblLayout w:type="fixed"/>
        <w:tblCellMar>
          <w:top w:w="0" w:type="dxa"/>
          <w:left w:w="108" w:type="dxa"/>
          <w:bottom w:w="0" w:type="dxa"/>
          <w:right w:w="108" w:type="dxa"/>
        </w:tblCellMar>
      </w:tblPr>
      <w:tblGrid>
        <w:gridCol w:w="9866"/>
      </w:tblGrid>
      <w:tr>
        <w:trPr>
          <w:jc w:val="center"/>
        </w:trPr>
        <w:tc>
          <w:tcPr>
            <w:tcW w:w="9638" w:type="dxa"/>
            <w:tcBorders>
              <w:top w:val="single" w:color="1F4E79" w:sz="10" w:space="0"/>
              <w:left w:val="single" w:color="1F4E79" w:sz="10" w:space="0"/>
              <w:bottom w:val="single" w:color="1F4E79" w:sz="10" w:space="0"/>
              <w:right w:val="single" w:color="1F4E79" w:sz="10" w:space="0"/>
            </w:tcBorders>
            <w:shd w:val="clear" w:color="auto" w:fill="EAF2F8"/>
            <w:tcMar>
              <w:top w:w="110" w:type="dxa"/>
              <w:left w:w="120" w:type="dxa"/>
              <w:bottom w:w="110" w:type="dxa"/>
              <w:right w:w="120" w:type="dxa"/>
            </w:tcMar>
          </w:tcPr>
          <w:p>
            <w:pPr>
              <w:spacing w:after="40"/>
            </w:pPr>
            <w:r>
              <w:rPr>
                <w:rFonts w:ascii="Calibri" w:hAnsi="Calibri" w:eastAsia="Calibri"/>
                <w:b/>
                <w:i w:val="0"/>
                <w:color w:val="1F4E79"/>
                <w:sz w:val="21"/>
              </w:rPr>
              <w:t>Today's question</w:t>
            </w:r>
          </w:p>
          <w:p>
            <w:pPr>
              <w:spacing w:before="20"/>
            </w:pPr>
            <w:r>
              <w:rPr>
                <w:rFonts w:ascii="Calibri" w:hAnsi="Calibri" w:eastAsia="Calibri"/>
                <w:b w:val="0"/>
                <w:i w:val="0"/>
                <w:color w:val="222222"/>
                <w:sz w:val="20"/>
              </w:rPr>
              <w:t>What makes some words faster to recognise than others? Today you will use a real lexical decision teaching dataset to test whether word length, log frequency, age of acquisition, and orthographic neighbourhood structure predict mean response time. The dataset is derived from the English Lexicon Project, with age-of-acquisition information</w:t>
            </w:r>
            <w:r>
              <w:rPr>
                <w:rFonts w:hint="default" w:eastAsia="Calibri"/>
                <w:b w:val="0"/>
                <w:i w:val="0"/>
                <w:color w:val="222222"/>
                <w:sz w:val="20"/>
                <w:lang w:val="en-GB"/>
              </w:rPr>
              <w:t xml:space="preserve"> and OLD20</w:t>
            </w:r>
            <w:r>
              <w:rPr>
                <w:rFonts w:ascii="Calibri" w:hAnsi="Calibri" w:eastAsia="Calibri"/>
                <w:b w:val="0"/>
                <w:i w:val="0"/>
                <w:color w:val="222222"/>
                <w:sz w:val="20"/>
              </w:rPr>
              <w:t xml:space="preserve"> merged in (Balota et al., 2007; Kuperman et al., 2012).</w:t>
            </w:r>
          </w:p>
        </w:tc>
      </w:tr>
    </w:tbl>
    <w:p>
      <w:pPr>
        <w:pStyle w:val="165"/>
      </w:pPr>
    </w:p>
    <w:p>
      <w:pPr>
        <w:pStyle w:val="166"/>
      </w:pPr>
      <w:r>
        <w:t>By the end of the workshop, you should be able to</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explain what the main lexical predictors index</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inspect lexical decision RT data sensibly</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create a simple descriptive summary and a scatterplot in Jamovi</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build a regression model in stages</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interpret coefficients in plain language</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 xml:space="preserve">write a short results paragraph </w:t>
      </w:r>
    </w:p>
    <w:p>
      <w:pPr>
        <w:pStyle w:val="166"/>
      </w:pPr>
      <w:r>
        <w:t>Today's route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33"/>
        <w:gridCol w:w="49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Time</w:t>
            </w:r>
          </w:p>
        </w:tc>
        <w:tc>
          <w:tcPr>
            <w:tcW w:w="7937"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What you will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0-10 min</w:t>
            </w:r>
          </w:p>
        </w:tc>
        <w:tc>
          <w:tcPr>
            <w:tcW w:w="7937"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Recap and predictions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10-25 min</w:t>
            </w:r>
          </w:p>
        </w:tc>
        <w:tc>
          <w:tcPr>
            <w:tcW w:w="7937"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Download the file, open Jamovi, and get oriented to the dataset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1"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25-40 min</w:t>
            </w:r>
          </w:p>
        </w:tc>
        <w:tc>
          <w:tcPr>
            <w:tcW w:w="7937"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Descriptives, distributions, and a first scatterplot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40-55 min</w:t>
            </w:r>
          </w:p>
        </w:tc>
        <w:tc>
          <w:tcPr>
            <w:tcW w:w="7937"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Simple relation between predictors and first regression model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55-75 min</w:t>
            </w:r>
          </w:p>
        </w:tc>
        <w:tc>
          <w:tcPr>
            <w:tcW w:w="7937"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Build the full regression in blocks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75-90 min</w:t>
            </w:r>
          </w:p>
        </w:tc>
        <w:tc>
          <w:tcPr>
            <w:tcW w:w="7937"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 xml:space="preserve">Interpret the output and draft </w:t>
            </w:r>
            <w:r>
              <w:rPr>
                <w:rFonts w:hint="default" w:eastAsia="Calibri"/>
                <w:b w:val="0"/>
                <w:i w:val="0"/>
                <w:color w:val="222222"/>
                <w:sz w:val="20"/>
                <w:lang w:val="en-GB"/>
              </w:rPr>
              <w:t>results</w:t>
            </w:r>
          </w:p>
        </w:tc>
      </w:tr>
    </w:tbl>
    <w:p>
      <w:pPr>
        <w:pStyle w:val="165"/>
      </w:pPr>
    </w:p>
    <w:tbl>
      <w:tblPr>
        <w:tblStyle w:val="12"/>
        <w:tblW w:w="0" w:type="auto"/>
        <w:jc w:val="center"/>
        <w:tblLayout w:type="fixed"/>
        <w:tblCellMar>
          <w:top w:w="0" w:type="dxa"/>
          <w:left w:w="108" w:type="dxa"/>
          <w:bottom w:w="0" w:type="dxa"/>
          <w:right w:w="108" w:type="dxa"/>
        </w:tblCellMar>
      </w:tblPr>
      <w:tblGrid>
        <w:gridCol w:w="9866"/>
      </w:tblGrid>
      <w:tr>
        <w:tblPrEx>
          <w:tblCellMar>
            <w:top w:w="0" w:type="dxa"/>
            <w:left w:w="108" w:type="dxa"/>
            <w:bottom w:w="0" w:type="dxa"/>
            <w:right w:w="108" w:type="dxa"/>
          </w:tblCellMar>
        </w:tblPrEx>
        <w:trPr>
          <w:jc w:val="center"/>
        </w:trPr>
        <w:tc>
          <w:tcPr>
            <w:tcW w:w="9638" w:type="dxa"/>
            <w:tcBorders>
              <w:top w:val="single" w:color="C49A2D" w:sz="10" w:space="0"/>
              <w:left w:val="single" w:color="C49A2D" w:sz="10" w:space="0"/>
              <w:bottom w:val="single" w:color="C49A2D" w:sz="10" w:space="0"/>
              <w:right w:val="single" w:color="C49A2D" w:sz="10" w:space="0"/>
            </w:tcBorders>
            <w:shd w:val="clear" w:color="auto" w:fill="F8EFD9"/>
            <w:tcMar>
              <w:top w:w="110" w:type="dxa"/>
              <w:left w:w="120" w:type="dxa"/>
              <w:bottom w:w="110" w:type="dxa"/>
              <w:right w:w="120" w:type="dxa"/>
            </w:tcMar>
          </w:tcPr>
          <w:p>
            <w:pPr>
              <w:spacing w:after="40"/>
            </w:pPr>
            <w:r>
              <w:rPr>
                <w:rFonts w:ascii="Calibri" w:hAnsi="Calibri" w:eastAsia="Calibri"/>
                <w:b/>
                <w:i w:val="0"/>
                <w:color w:val="1F4E79"/>
                <w:sz w:val="21"/>
              </w:rPr>
              <w:t>Keep this straight</w:t>
            </w:r>
          </w:p>
          <w:p>
            <w:pPr>
              <w:ind w:left="170" w:hanging="142"/>
            </w:pPr>
            <w:r>
              <w:rPr>
                <w:rFonts w:ascii="Calibri" w:hAnsi="Calibri" w:eastAsia="Calibri"/>
                <w:b/>
                <w:i w:val="0"/>
                <w:color w:val="2F6E9E"/>
                <w:sz w:val="20"/>
              </w:rPr>
              <w:t xml:space="preserve">• </w:t>
            </w:r>
            <w:r>
              <w:rPr>
                <w:rFonts w:ascii="Calibri" w:hAnsi="Calibri" w:eastAsia="Calibri"/>
                <w:b w:val="0"/>
                <w:i w:val="0"/>
                <w:color w:val="222222"/>
                <w:sz w:val="20"/>
              </w:rPr>
              <w:t>Lower RT means faster recognition.</w:t>
            </w:r>
          </w:p>
          <w:p>
            <w:pPr>
              <w:ind w:left="170" w:hanging="142"/>
            </w:pPr>
            <w:r>
              <w:rPr>
                <w:rFonts w:ascii="Calibri" w:hAnsi="Calibri" w:eastAsia="Calibri"/>
                <w:b/>
                <w:i w:val="0"/>
                <w:color w:val="2F6E9E"/>
                <w:sz w:val="20"/>
              </w:rPr>
              <w:t xml:space="preserve">• </w:t>
            </w:r>
            <w:r>
              <w:rPr>
                <w:rFonts w:ascii="Calibri" w:hAnsi="Calibri" w:eastAsia="Calibri"/>
                <w:b w:val="0"/>
                <w:i w:val="0"/>
                <w:color w:val="222222"/>
                <w:sz w:val="20"/>
              </w:rPr>
              <w:t>Higher log_frequency means a more frequent word.</w:t>
            </w:r>
          </w:p>
          <w:p>
            <w:pPr>
              <w:ind w:left="170" w:hanging="142"/>
            </w:pPr>
            <w:r>
              <w:rPr>
                <w:rFonts w:ascii="Calibri" w:hAnsi="Calibri" w:eastAsia="Calibri"/>
                <w:b/>
                <w:i w:val="0"/>
                <w:color w:val="2F6E9E"/>
                <w:sz w:val="20"/>
              </w:rPr>
              <w:t xml:space="preserve">• </w:t>
            </w:r>
            <w:r>
              <w:rPr>
                <w:rFonts w:ascii="Calibri" w:hAnsi="Calibri" w:eastAsia="Calibri"/>
                <w:b w:val="0"/>
                <w:i w:val="0"/>
                <w:color w:val="222222"/>
                <w:sz w:val="20"/>
              </w:rPr>
              <w:t>Higher AoA means the word is learned later.</w:t>
            </w:r>
          </w:p>
          <w:p>
            <w:pPr>
              <w:ind w:left="170" w:hanging="142"/>
            </w:pPr>
            <w:r>
              <w:rPr>
                <w:rFonts w:ascii="Calibri" w:hAnsi="Calibri" w:eastAsia="Calibri"/>
                <w:b/>
                <w:i w:val="0"/>
                <w:color w:val="2F6E9E"/>
                <w:sz w:val="20"/>
              </w:rPr>
              <w:t xml:space="preserve">• </w:t>
            </w:r>
            <w:r>
              <w:rPr>
                <w:rFonts w:ascii="Calibri" w:hAnsi="Calibri" w:eastAsia="Calibri"/>
                <w:b w:val="0"/>
                <w:i w:val="0"/>
                <w:color w:val="222222"/>
                <w:sz w:val="20"/>
              </w:rPr>
              <w:t>Lower OLD20 means the word has more similar orthographic neighbours.</w:t>
            </w:r>
          </w:p>
        </w:tc>
      </w:tr>
    </w:tbl>
    <w:p>
      <w:pPr>
        <w:pStyle w:val="165"/>
      </w:pPr>
    </w:p>
    <w:p>
      <w:pPr>
        <w:pStyle w:val="166"/>
      </w:pPr>
      <w:r>
        <w:t>1. Quick recap: what is lexical decision?</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In a lexical decision task, people decide as quickly and accurately as possible whether a letter string is a real word.</w:t>
      </w:r>
    </w:p>
    <w:p>
      <w:pPr>
        <w:ind w:left="255" w:hanging="198"/>
        <w:rPr>
          <w:rFonts w:hint="default"/>
          <w:lang w:val="en-GB"/>
        </w:rPr>
      </w:pPr>
      <w:r>
        <w:rPr>
          <w:rFonts w:ascii="Calibri" w:hAnsi="Calibri" w:eastAsia="Calibri"/>
          <w:b/>
          <w:i w:val="0"/>
          <w:color w:val="2F6E9E"/>
          <w:sz w:val="21"/>
        </w:rPr>
        <w:t xml:space="preserve">• </w:t>
      </w:r>
      <w:r>
        <w:rPr>
          <w:rFonts w:ascii="Calibri" w:hAnsi="Calibri" w:eastAsia="Calibri"/>
          <w:b w:val="0"/>
          <w:i w:val="0"/>
          <w:color w:val="222222"/>
          <w:sz w:val="21"/>
        </w:rPr>
        <w:t>Today, each row in the file is one English word</w:t>
      </w:r>
      <w:r>
        <w:rPr>
          <w:rFonts w:hint="default" w:eastAsia="Calibri"/>
          <w:b w:val="0"/>
          <w:i w:val="0"/>
          <w:color w:val="222222"/>
          <w:sz w:val="21"/>
          <w:lang w:val="en-GB"/>
        </w:rPr>
        <w:t xml:space="preserve"> - with averaged responses across multiple participants.</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That means you are doing an item analysis of word-level means.</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Large lexical decision megastudies make it possible to ask how lexical variables predict response speed across many words (Balota et al., 2007).</w:t>
      </w:r>
    </w:p>
    <w:p>
      <w:r>
        <w:t>For this workshop, think of regression as a way to test whether each predictor still matters once the others are taken into account.</w:t>
      </w:r>
    </w:p>
    <w:p>
      <w:pPr>
        <w:pStyle w:val="166"/>
      </w:pPr>
      <w:r>
        <w:t>2. Meet the dataset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9"/>
        <w:gridCol w:w="3289"/>
        <w:gridCol w:w="32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87"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Variable</w:t>
            </w:r>
          </w:p>
        </w:tc>
        <w:tc>
          <w:tcPr>
            <w:tcW w:w="4365"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What it means</w:t>
            </w:r>
          </w:p>
        </w:tc>
        <w:tc>
          <w:tcPr>
            <w:tcW w:w="3685"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rPr>
                <w:rFonts w:hint="default"/>
                <w:lang w:val="en-GB"/>
              </w:rPr>
            </w:pPr>
            <w:r>
              <w:rPr>
                <w:rFonts w:hint="default" w:eastAsia="Calibri"/>
                <w:b/>
                <w:i w:val="0"/>
                <w:color w:val="FFFFFF"/>
                <w:sz w:val="19"/>
                <w:lang w:val="en-GB"/>
              </w:rPr>
              <w:t>Notes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7"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word</w:t>
            </w:r>
          </w:p>
        </w:tc>
        <w:tc>
          <w:tcPr>
            <w:tcW w:w="436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The lexical item</w:t>
            </w:r>
          </w:p>
        </w:tc>
        <w:tc>
          <w:tcPr>
            <w:tcW w:w="368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rPr>
                <w:rFonts w:hint="default"/>
                <w:lang w:val="en-GB"/>
              </w:rPr>
            </w:pPr>
            <w:r>
              <w:rPr>
                <w:rFonts w:hint="default"/>
                <w:lang w:val="en-GB"/>
              </w:rPr>
              <w:t>Only real words included in this dataset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mean_RT_ms</w:t>
            </w:r>
          </w:p>
        </w:tc>
        <w:tc>
          <w:tcPr>
            <w:tcW w:w="4365"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Mean lexical decision response time in milliseconds</w:t>
            </w:r>
          </w:p>
        </w:tc>
        <w:tc>
          <w:tcPr>
            <w:tcW w:w="3685"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Lower values mean faster recognition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length</w:t>
            </w:r>
          </w:p>
        </w:tc>
        <w:tc>
          <w:tcPr>
            <w:tcW w:w="436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Number of letters</w:t>
            </w:r>
          </w:p>
        </w:tc>
        <w:tc>
          <w:tcPr>
            <w:tcW w:w="368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Higher values mean longer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log_frequency</w:t>
            </w:r>
          </w:p>
        </w:tc>
        <w:tc>
          <w:tcPr>
            <w:tcW w:w="4365"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Log-transformed word frequency</w:t>
            </w:r>
          </w:p>
        </w:tc>
        <w:tc>
          <w:tcPr>
            <w:tcW w:w="3685"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Higher values mean more frequent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AoA</w:t>
            </w:r>
          </w:p>
        </w:tc>
        <w:tc>
          <w:tcPr>
            <w:tcW w:w="436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Age of acquisition estimate</w:t>
            </w:r>
          </w:p>
        </w:tc>
        <w:tc>
          <w:tcPr>
            <w:tcW w:w="368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Higher values mean learned later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7"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OLD20</w:t>
            </w:r>
          </w:p>
        </w:tc>
        <w:tc>
          <w:tcPr>
            <w:tcW w:w="4365"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Orthographic similarity measure</w:t>
            </w:r>
          </w:p>
        </w:tc>
        <w:tc>
          <w:tcPr>
            <w:tcW w:w="3685"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Lower values mean more similar neighbours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mean_accuracy</w:t>
            </w:r>
          </w:p>
        </w:tc>
        <w:tc>
          <w:tcPr>
            <w:tcW w:w="436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Optional item-level accuracy check</w:t>
            </w:r>
          </w:p>
        </w:tc>
        <w:tc>
          <w:tcPr>
            <w:tcW w:w="368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rPr>
                <w:rFonts w:hint="default"/>
                <w:lang w:val="en-GB"/>
              </w:rPr>
            </w:pPr>
            <w:r>
              <w:rPr>
                <w:rFonts w:ascii="Calibri" w:hAnsi="Calibri" w:eastAsia="Calibri"/>
                <w:b w:val="0"/>
                <w:i w:val="0"/>
                <w:color w:val="222222"/>
                <w:sz w:val="20"/>
              </w:rPr>
              <w:t>Useful descriptively</w:t>
            </w:r>
            <w:r>
              <w:rPr>
                <w:rFonts w:hint="default" w:eastAsia="Calibri"/>
                <w:b w:val="0"/>
                <w:i w:val="0"/>
                <w:color w:val="222222"/>
                <w:sz w:val="20"/>
                <w:lang w:val="en-GB"/>
              </w:rPr>
              <w:t>, but not our focus</w:t>
            </w:r>
          </w:p>
        </w:tc>
      </w:tr>
    </w:tbl>
    <w:p>
      <w:pPr>
        <w:pStyle w:val="165"/>
      </w:pPr>
    </w:p>
    <w:tbl>
      <w:tblPr>
        <w:tblStyle w:val="12"/>
        <w:tblW w:w="0" w:type="auto"/>
        <w:jc w:val="center"/>
        <w:tblLayout w:type="fixed"/>
        <w:tblCellMar>
          <w:top w:w="0" w:type="dxa"/>
          <w:left w:w="108" w:type="dxa"/>
          <w:bottom w:w="0" w:type="dxa"/>
          <w:right w:w="108" w:type="dxa"/>
        </w:tblCellMar>
      </w:tblPr>
      <w:tblGrid>
        <w:gridCol w:w="9866"/>
      </w:tblGrid>
      <w:tr>
        <w:tblPrEx>
          <w:tblCellMar>
            <w:top w:w="0" w:type="dxa"/>
            <w:left w:w="108" w:type="dxa"/>
            <w:bottom w:w="0" w:type="dxa"/>
            <w:right w:w="108" w:type="dxa"/>
          </w:tblCellMar>
        </w:tblPrEx>
        <w:trPr>
          <w:jc w:val="center"/>
        </w:trPr>
        <w:tc>
          <w:tcPr>
            <w:tcW w:w="9638" w:type="dxa"/>
            <w:tcBorders>
              <w:top w:val="single" w:color="D6E2EB" w:sz="8" w:space="0"/>
              <w:left w:val="single" w:color="D6E2EB" w:sz="8" w:space="0"/>
              <w:bottom w:val="single" w:color="D6E2EB" w:sz="8" w:space="0"/>
              <w:right w:val="single" w:color="D6E2EB" w:sz="8" w:space="0"/>
            </w:tcBorders>
            <w:shd w:val="clear" w:color="auto" w:fill="F6FAFD"/>
            <w:tcMar>
              <w:top w:w="80" w:type="dxa"/>
              <w:left w:w="110" w:type="dxa"/>
              <w:bottom w:w="80" w:type="dxa"/>
              <w:right w:w="110" w:type="dxa"/>
            </w:tcMar>
          </w:tcPr>
          <w:p>
            <w:pPr>
              <w:spacing w:after="0"/>
              <w:rPr>
                <w:rFonts w:hint="default"/>
                <w:lang w:val="en-GB"/>
              </w:rPr>
            </w:pPr>
            <w:r>
              <w:rPr>
                <w:rFonts w:hint="default"/>
                <w:lang w:val="en-GB"/>
              </w:rPr>
              <w:t>You can use the internet to search more about what these predictors if you are unfamiliar with them?</w:t>
            </w:r>
          </w:p>
          <w:p>
            <w:pPr>
              <w:spacing w:after="0"/>
              <w:rPr>
                <w:rFonts w:hint="default"/>
                <w:lang w:val="en-GB"/>
              </w:rPr>
            </w:pPr>
            <w:r>
              <w:rPr>
                <w:rFonts w:hint="default"/>
                <w:i/>
                <w:iCs/>
                <w:lang w:val="en-GB"/>
              </w:rPr>
              <w:br w:type="textWrapping"/>
            </w:r>
            <w:r>
              <w:rPr>
                <w:rFonts w:hint="default"/>
                <w:i/>
                <w:iCs/>
                <w:lang w:val="en-GB"/>
              </w:rPr>
              <w:t>What is  AoA?</w:t>
            </w:r>
            <w:r>
              <w:rPr>
                <w:rFonts w:hint="default"/>
                <w:i/>
                <w:iCs/>
                <w:lang w:val="en-GB"/>
              </w:rPr>
              <w:br w:type="textWrapping"/>
            </w:r>
            <w:r>
              <w:rPr>
                <w:rFonts w:hint="default"/>
                <w:i/>
                <w:iCs/>
                <w:lang w:val="en-GB"/>
              </w:rPr>
              <w:t>What is OLD20?</w:t>
            </w:r>
            <w:r>
              <w:rPr>
                <w:rFonts w:hint="default"/>
                <w:i/>
                <w:iCs/>
                <w:lang w:val="en-GB"/>
              </w:rPr>
              <w:br w:type="textWrapping"/>
            </w:r>
            <w:r>
              <w:rPr>
                <w:rFonts w:hint="default"/>
                <w:lang w:val="en-GB"/>
              </w:rPr>
              <w:br w:type="textWrapping"/>
            </w:r>
            <w:r>
              <w:rPr>
                <w:rFonts w:hint="default"/>
                <w:lang w:val="en-GB"/>
              </w:rPr>
              <w:t>And why might they predict lexical decision Reaction Time (RT)?</w:t>
            </w:r>
          </w:p>
        </w:tc>
      </w:tr>
    </w:tbl>
    <w:p>
      <w:pPr>
        <w:pStyle w:val="165"/>
      </w:pPr>
    </w:p>
    <w:p>
      <w:pPr>
        <w:pStyle w:val="166"/>
      </w:pPr>
      <w:r>
        <w:t>3. Download and open the file</w:t>
      </w:r>
    </w:p>
    <w:p>
      <w:pPr>
        <w:ind w:left="312" w:hanging="255"/>
      </w:pPr>
      <w:r>
        <w:rPr>
          <w:rFonts w:ascii="Calibri" w:hAnsi="Calibri" w:eastAsia="Calibri"/>
          <w:b/>
          <w:i w:val="0"/>
          <w:color w:val="2F6E9E"/>
          <w:sz w:val="21"/>
        </w:rPr>
        <w:t xml:space="preserve">1. </w:t>
      </w:r>
      <w:r>
        <w:rPr>
          <w:rFonts w:ascii="Calibri" w:hAnsi="Calibri" w:eastAsia="Calibri"/>
          <w:b w:val="0"/>
          <w:i w:val="0"/>
          <w:color w:val="222222"/>
          <w:sz w:val="21"/>
        </w:rPr>
        <w:t>Open the GitHub repository link</w:t>
      </w:r>
    </w:p>
    <w:p>
      <w:pPr>
        <w:ind w:left="312" w:hanging="255"/>
      </w:pPr>
      <w:r>
        <w:rPr>
          <w:rFonts w:ascii="Calibri" w:hAnsi="Calibri" w:eastAsia="Calibri"/>
          <w:b/>
          <w:i w:val="0"/>
          <w:color w:val="2F6E9E"/>
          <w:sz w:val="21"/>
        </w:rPr>
        <w:t xml:space="preserve">2. </w:t>
      </w:r>
      <w:r>
        <w:rPr>
          <w:rFonts w:ascii="Calibri" w:hAnsi="Calibri" w:eastAsia="Calibri"/>
          <w:b w:val="0"/>
          <w:i w:val="0"/>
          <w:color w:val="222222"/>
          <w:sz w:val="21"/>
        </w:rPr>
        <w:t>Download elp_lexical_decision_teaching.csv from data/l6-word-processing/processed/.</w:t>
      </w:r>
    </w:p>
    <w:p>
      <w:pPr>
        <w:ind w:left="312" w:hanging="255"/>
      </w:pPr>
      <w:r>
        <w:rPr>
          <w:rFonts w:hint="default" w:eastAsia="Calibri"/>
          <w:b/>
          <w:i w:val="0"/>
          <w:color w:val="2F6E9E"/>
          <w:sz w:val="21"/>
          <w:lang w:val="en-GB"/>
        </w:rPr>
        <w:t>3</w:t>
      </w:r>
      <w:r>
        <w:rPr>
          <w:rFonts w:ascii="Calibri" w:hAnsi="Calibri" w:eastAsia="Calibri"/>
          <w:b/>
          <w:i w:val="0"/>
          <w:color w:val="2F6E9E"/>
          <w:sz w:val="21"/>
        </w:rPr>
        <w:t xml:space="preserve">. </w:t>
      </w:r>
      <w:r>
        <w:rPr>
          <w:rFonts w:ascii="Calibri" w:hAnsi="Calibri" w:eastAsia="Calibri"/>
          <w:b w:val="0"/>
          <w:i w:val="0"/>
          <w:color w:val="222222"/>
          <w:sz w:val="21"/>
        </w:rPr>
        <w:t>Open the file in Jamovi.</w:t>
      </w:r>
    </w:p>
    <w:p>
      <w:pPr>
        <w:ind w:left="312" w:hanging="255"/>
      </w:pPr>
      <w:r>
        <w:rPr>
          <w:rFonts w:hint="default" w:eastAsia="Calibri"/>
          <w:b/>
          <w:i w:val="0"/>
          <w:color w:val="2F6E9E"/>
          <w:sz w:val="21"/>
          <w:lang w:val="en-GB"/>
        </w:rPr>
        <w:t>4</w:t>
      </w:r>
      <w:r>
        <w:rPr>
          <w:rFonts w:ascii="Calibri" w:hAnsi="Calibri" w:eastAsia="Calibri"/>
          <w:b/>
          <w:i w:val="0"/>
          <w:color w:val="2F6E9E"/>
          <w:sz w:val="21"/>
        </w:rPr>
        <w:t xml:space="preserve">. </w:t>
      </w:r>
      <w:r>
        <w:rPr>
          <w:rFonts w:ascii="Calibri" w:hAnsi="Calibri" w:eastAsia="Calibri"/>
          <w:b w:val="0"/>
          <w:i w:val="0"/>
          <w:color w:val="222222"/>
          <w:sz w:val="21"/>
        </w:rPr>
        <w:t>Save an .omv copy straight away so your output is saved as you work.</w:t>
      </w:r>
    </w:p>
    <w:p>
      <w:pPr>
        <w:ind w:left="312" w:hanging="255"/>
      </w:pPr>
      <w:r>
        <w:rPr>
          <w:rFonts w:hint="default" w:eastAsia="Calibri"/>
          <w:b/>
          <w:i w:val="0"/>
          <w:color w:val="2F6E9E"/>
          <w:sz w:val="21"/>
          <w:lang w:val="en-GB"/>
        </w:rPr>
        <w:t>5</w:t>
      </w:r>
      <w:r>
        <w:rPr>
          <w:rFonts w:ascii="Calibri" w:hAnsi="Calibri" w:eastAsia="Calibri"/>
          <w:b/>
          <w:i w:val="0"/>
          <w:color w:val="2F6E9E"/>
          <w:sz w:val="21"/>
        </w:rPr>
        <w:t xml:space="preserve">. </w:t>
      </w:r>
      <w:r>
        <w:rPr>
          <w:rFonts w:ascii="Calibri" w:hAnsi="Calibri" w:eastAsia="Calibri"/>
          <w:b w:val="0"/>
          <w:i w:val="0"/>
          <w:color w:val="222222"/>
          <w:sz w:val="21"/>
        </w:rPr>
        <w:t>Check that mean_RT_ms, length, log_frequency, AoA, and OLD20 are all set as continuous variables.</w:t>
      </w:r>
    </w:p>
    <w:tbl>
      <w:tblPr>
        <w:tblStyle w:val="12"/>
        <w:tblW w:w="0" w:type="auto"/>
        <w:jc w:val="center"/>
        <w:tblLayout w:type="fixed"/>
        <w:tblCellMar>
          <w:top w:w="0" w:type="dxa"/>
          <w:left w:w="108" w:type="dxa"/>
          <w:bottom w:w="0" w:type="dxa"/>
          <w:right w:w="108" w:type="dxa"/>
        </w:tblCellMar>
      </w:tblPr>
      <w:tblGrid>
        <w:gridCol w:w="9866"/>
      </w:tblGrid>
      <w:tr>
        <w:tblPrEx>
          <w:tblCellMar>
            <w:top w:w="0" w:type="dxa"/>
            <w:left w:w="108" w:type="dxa"/>
            <w:bottom w:w="0" w:type="dxa"/>
            <w:right w:w="108" w:type="dxa"/>
          </w:tblCellMar>
        </w:tblPrEx>
        <w:trPr>
          <w:jc w:val="center"/>
        </w:trPr>
        <w:tc>
          <w:tcPr>
            <w:tcW w:w="9638" w:type="dxa"/>
            <w:tcBorders>
              <w:top w:val="single" w:color="2F6E9E" w:sz="10" w:space="0"/>
              <w:left w:val="single" w:color="2F6E9E" w:sz="10" w:space="0"/>
              <w:bottom w:val="single" w:color="2F6E9E" w:sz="10" w:space="0"/>
              <w:right w:val="single" w:color="2F6E9E" w:sz="10" w:space="0"/>
            </w:tcBorders>
            <w:shd w:val="clear" w:color="auto" w:fill="F6FAFD"/>
            <w:tcMar>
              <w:top w:w="110" w:type="dxa"/>
              <w:left w:w="120" w:type="dxa"/>
              <w:bottom w:w="110" w:type="dxa"/>
              <w:right w:w="120" w:type="dxa"/>
            </w:tcMar>
          </w:tcPr>
          <w:p>
            <w:pPr>
              <w:spacing w:before="20"/>
            </w:pPr>
            <w:r>
              <w:rPr>
                <w:rFonts w:ascii="Calibri" w:hAnsi="Calibri" w:eastAsia="Calibri"/>
                <w:b/>
                <w:i w:val="0"/>
                <w:color w:val="1F4E79"/>
                <w:sz w:val="21"/>
              </w:rPr>
              <w:t xml:space="preserve">Direct link </w:t>
            </w:r>
            <w:r>
              <w:rPr>
                <w:rFonts w:hint="default" w:eastAsia="Calibri"/>
                <w:b/>
                <w:i w:val="0"/>
                <w:color w:val="1F4E79"/>
                <w:sz w:val="21"/>
                <w:lang w:val="en-GB"/>
              </w:rPr>
              <w:t>to resources</w:t>
            </w:r>
            <w:r>
              <w:rPr>
                <w:rFonts w:ascii="Calibri" w:hAnsi="Calibri" w:eastAsia="Calibri"/>
                <w:b w:val="0"/>
                <w:i w:val="0"/>
                <w:color w:val="222222"/>
                <w:sz w:val="20"/>
              </w:rPr>
              <w:br w:type="textWrapping"/>
            </w:r>
            <w:r>
              <w:rPr>
                <w:rFonts w:hint="default" w:ascii="Calibri" w:hAnsi="Calibri" w:eastAsia="Calibri"/>
                <w:b w:val="0"/>
                <w:i w:val="0"/>
                <w:color w:val="222222"/>
                <w:sz w:val="20"/>
              </w:rPr>
              <w:t>https://github.com/shanelindsay/psylang-word-processing-workshop</w:t>
            </w:r>
          </w:p>
        </w:tc>
      </w:tr>
    </w:tbl>
    <w:p>
      <w:pPr>
        <w:pStyle w:val="165"/>
      </w:pPr>
    </w:p>
    <w:p>
      <w:pPr>
        <w:pStyle w:val="166"/>
      </w:pPr>
      <w:r>
        <w:t>4. Before you analyse, make some bets</w:t>
      </w:r>
    </w:p>
    <w:p>
      <w:r>
        <w:t>Do this before you run the full model. It is easier to understand the output when you have already committed to a prediction.</w:t>
      </w:r>
    </w:p>
    <w:p>
      <w:pPr>
        <w:rPr>
          <w:rFonts w:hint="default"/>
          <w:lang w:val="en-GB"/>
        </w:rPr>
      </w:pPr>
      <w:r>
        <w:rPr>
          <w:rFonts w:hint="default"/>
          <w:lang w:val="en-GB"/>
        </w:rPr>
        <w:t xml:space="preserve">Consider for each predictor the direction of the prediction. Look at the raw data to make more sense of the numbers - i.e. what high vs. low means for each variable. Then consider why this variable might be predictive on lexical decision and your confidence that this will occur - where 5 is very confident and 1 not all confident (just guessing). </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6"/>
        <w:gridCol w:w="2466"/>
        <w:gridCol w:w="2466"/>
        <w:gridCol w:w="2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71"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Predictor</w:t>
            </w:r>
          </w:p>
        </w:tc>
        <w:tc>
          <w:tcPr>
            <w:tcW w:w="2268"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Predicted direction</w:t>
            </w:r>
          </w:p>
        </w:tc>
        <w:tc>
          <w:tcPr>
            <w:tcW w:w="4195"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Why?</w:t>
            </w:r>
          </w:p>
        </w:tc>
        <w:tc>
          <w:tcPr>
            <w:tcW w:w="1304"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Confidence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71"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log_frequency</w:t>
            </w:r>
          </w:p>
        </w:tc>
        <w:tc>
          <w:tcPr>
            <w:tcW w:w="2268"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[fill in]</w:t>
            </w:r>
          </w:p>
        </w:tc>
        <w:tc>
          <w:tcPr>
            <w:tcW w:w="419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[fill in]</w:t>
            </w:r>
          </w:p>
        </w:tc>
        <w:tc>
          <w:tcPr>
            <w:tcW w:w="1304"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AoA</w:t>
            </w:r>
          </w:p>
        </w:tc>
        <w:tc>
          <w:tcPr>
            <w:tcW w:w="2268"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[fill in]</w:t>
            </w:r>
          </w:p>
        </w:tc>
        <w:tc>
          <w:tcPr>
            <w:tcW w:w="4195"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[fill in]</w:t>
            </w:r>
          </w:p>
        </w:tc>
        <w:tc>
          <w:tcPr>
            <w:tcW w:w="1304"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71"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length</w:t>
            </w:r>
          </w:p>
        </w:tc>
        <w:tc>
          <w:tcPr>
            <w:tcW w:w="2268"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[fill in]</w:t>
            </w:r>
          </w:p>
        </w:tc>
        <w:tc>
          <w:tcPr>
            <w:tcW w:w="419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[fill in]</w:t>
            </w:r>
          </w:p>
        </w:tc>
        <w:tc>
          <w:tcPr>
            <w:tcW w:w="1304"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OLD20</w:t>
            </w:r>
          </w:p>
        </w:tc>
        <w:tc>
          <w:tcPr>
            <w:tcW w:w="2268"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[fill in]</w:t>
            </w:r>
          </w:p>
        </w:tc>
        <w:tc>
          <w:tcPr>
            <w:tcW w:w="4195"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[fill in]</w:t>
            </w:r>
          </w:p>
        </w:tc>
        <w:tc>
          <w:tcPr>
            <w:tcW w:w="1304"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[1-5]</w:t>
            </w:r>
          </w:p>
        </w:tc>
      </w:tr>
    </w:tbl>
    <w:p>
      <w:pPr>
        <w:pStyle w:val="165"/>
      </w:pPr>
    </w:p>
    <w:p>
      <w:pPr>
        <w:pStyle w:val="166"/>
      </w:pPr>
      <w:r>
        <w:t>5. First look at the data</w:t>
      </w:r>
    </w:p>
    <w:p>
      <w:pPr>
        <w:ind w:left="312" w:hanging="255"/>
        <w:rPr>
          <w:rFonts w:hint="default"/>
          <w:lang w:val="en-GB"/>
        </w:rPr>
      </w:pPr>
      <w:r>
        <w:rPr>
          <w:rFonts w:ascii="Calibri" w:hAnsi="Calibri" w:eastAsia="Calibri"/>
          <w:b/>
          <w:i w:val="0"/>
          <w:color w:val="2F6E9E"/>
          <w:sz w:val="21"/>
        </w:rPr>
        <w:t xml:space="preserve">1. </w:t>
      </w:r>
      <w:r>
        <w:rPr>
          <w:rFonts w:hint="default" w:eastAsia="Calibri"/>
          <w:b/>
          <w:i w:val="0"/>
          <w:color w:val="2F6E9E"/>
          <w:sz w:val="21"/>
          <w:lang w:val="en-GB"/>
        </w:rPr>
        <w:t xml:space="preserve">In Jamovi, </w:t>
      </w:r>
      <w:r>
        <w:rPr>
          <w:rFonts w:ascii="Calibri" w:hAnsi="Calibri" w:eastAsia="Calibri"/>
          <w:b w:val="0"/>
          <w:i w:val="0"/>
          <w:color w:val="222222"/>
          <w:sz w:val="21"/>
        </w:rPr>
        <w:t>Run descriptives for mean_RT_ms, length, log_frequency, AoA, and OLD20.</w:t>
      </w:r>
      <w:r>
        <w:rPr>
          <w:rFonts w:hint="default" w:eastAsia="Calibri"/>
          <w:b w:val="0"/>
          <w:i w:val="0"/>
          <w:color w:val="222222"/>
          <w:sz w:val="21"/>
          <w:lang w:val="en-GB"/>
        </w:rPr>
        <w:t xml:space="preserve"> Histograms are very useful here. </w:t>
      </w:r>
    </w:p>
    <w:p>
      <w:pPr>
        <w:ind w:left="312" w:hanging="255"/>
        <w:rPr>
          <w:rFonts w:hint="default"/>
          <w:lang w:val="en-GB"/>
        </w:rPr>
      </w:pPr>
      <w:r>
        <w:rPr>
          <w:rFonts w:ascii="Calibri" w:hAnsi="Calibri" w:eastAsia="Calibri"/>
          <w:b/>
          <w:i w:val="0"/>
          <w:color w:val="2F6E9E"/>
          <w:sz w:val="21"/>
        </w:rPr>
        <w:t xml:space="preserve">2. </w:t>
      </w:r>
      <w:r>
        <w:rPr>
          <w:rFonts w:ascii="Calibri" w:hAnsi="Calibri" w:eastAsia="Calibri"/>
          <w:b w:val="0"/>
          <w:i w:val="0"/>
          <w:color w:val="222222"/>
          <w:sz w:val="21"/>
        </w:rPr>
        <w:t>Check the distribution of mean_RT_ms</w:t>
      </w:r>
      <w:r>
        <w:rPr>
          <w:rFonts w:hint="default" w:eastAsia="Calibri"/>
          <w:b w:val="0"/>
          <w:i w:val="0"/>
          <w:color w:val="222222"/>
          <w:sz w:val="21"/>
          <w:lang w:val="en-GB"/>
        </w:rPr>
        <w:t xml:space="preserve">, along with distributions of other variables. </w:t>
      </w:r>
    </w:p>
    <w:p>
      <w:pPr>
        <w:ind w:left="312" w:hanging="255"/>
        <w:rPr>
          <w:rFonts w:hint="default" w:eastAsia="Calibri"/>
          <w:b w:val="0"/>
          <w:i w:val="0"/>
          <w:color w:val="222222"/>
          <w:sz w:val="21"/>
          <w:lang w:val="en-GB"/>
        </w:rPr>
      </w:pPr>
      <w:r>
        <w:rPr>
          <w:rFonts w:ascii="Calibri" w:hAnsi="Calibri" w:eastAsia="Calibri"/>
          <w:b/>
          <w:i w:val="0"/>
          <w:color w:val="2F6E9E"/>
          <w:sz w:val="21"/>
        </w:rPr>
        <w:t xml:space="preserve">3. </w:t>
      </w:r>
      <w:r>
        <w:rPr>
          <w:rFonts w:ascii="Calibri" w:hAnsi="Calibri" w:eastAsia="Calibri"/>
          <w:b w:val="0"/>
          <w:i w:val="0"/>
          <w:color w:val="222222"/>
          <w:sz w:val="21"/>
        </w:rPr>
        <w:t>Look at missing values and anything implausible.</w:t>
      </w:r>
      <w:r>
        <w:rPr>
          <w:rFonts w:hint="default" w:eastAsia="Calibri"/>
          <w:b w:val="0"/>
          <w:i w:val="0"/>
          <w:color w:val="222222"/>
          <w:sz w:val="21"/>
          <w:lang w:val="en-GB"/>
        </w:rPr>
        <w:t xml:space="preserve"> Consider the natural limits of the data - e.g. frequency cannot be less than zero. </w:t>
      </w:r>
    </w:p>
    <w:p>
      <w:pPr>
        <w:ind w:left="312" w:hanging="255"/>
      </w:pPr>
      <w:r>
        <w:rPr>
          <w:rFonts w:ascii="Calibri" w:hAnsi="Calibri" w:eastAsia="Calibri"/>
          <w:b/>
          <w:i w:val="0"/>
          <w:color w:val="2F6E9E"/>
          <w:sz w:val="21"/>
        </w:rPr>
        <w:t xml:space="preserve">4. </w:t>
      </w:r>
      <w:r>
        <w:rPr>
          <w:rFonts w:ascii="Calibri" w:hAnsi="Calibri" w:eastAsia="Calibri"/>
          <w:b w:val="0"/>
          <w:i w:val="0"/>
          <w:color w:val="222222"/>
          <w:sz w:val="21"/>
        </w:rPr>
        <w:t>Create a scatterplot of mean_RT_ms against log_frequency.</w:t>
      </w:r>
    </w:p>
    <w:tbl>
      <w:tblPr>
        <w:tblStyle w:val="12"/>
        <w:tblW w:w="0" w:type="auto"/>
        <w:jc w:val="center"/>
        <w:tblLayout w:type="fixed"/>
        <w:tblCellMar>
          <w:top w:w="0" w:type="dxa"/>
          <w:left w:w="108" w:type="dxa"/>
          <w:bottom w:w="0" w:type="dxa"/>
          <w:right w:w="108" w:type="dxa"/>
        </w:tblCellMar>
      </w:tblPr>
      <w:tblGrid>
        <w:gridCol w:w="9866"/>
      </w:tblGrid>
      <w:tr>
        <w:tblPrEx>
          <w:tblCellMar>
            <w:top w:w="0" w:type="dxa"/>
            <w:left w:w="108" w:type="dxa"/>
            <w:bottom w:w="0" w:type="dxa"/>
            <w:right w:w="108" w:type="dxa"/>
          </w:tblCellMar>
        </w:tblPrEx>
        <w:trPr>
          <w:jc w:val="center"/>
        </w:trPr>
        <w:tc>
          <w:tcPr>
            <w:tcW w:w="9638" w:type="dxa"/>
            <w:tcBorders>
              <w:top w:val="single" w:color="2F6E9E" w:sz="10" w:space="0"/>
              <w:left w:val="single" w:color="2F6E9E" w:sz="10" w:space="0"/>
              <w:bottom w:val="single" w:color="2F6E9E" w:sz="10" w:space="0"/>
              <w:right w:val="single" w:color="2F6E9E" w:sz="10" w:space="0"/>
            </w:tcBorders>
            <w:shd w:val="clear" w:color="auto" w:fill="EAF2F8"/>
            <w:tcMar>
              <w:top w:w="110" w:type="dxa"/>
              <w:left w:w="120" w:type="dxa"/>
              <w:bottom w:w="110" w:type="dxa"/>
              <w:right w:w="120" w:type="dxa"/>
            </w:tcMar>
          </w:tcPr>
          <w:p>
            <w:pPr>
              <w:spacing w:after="40"/>
            </w:pPr>
            <w:r>
              <w:rPr>
                <w:rFonts w:ascii="Calibri" w:hAnsi="Calibri" w:eastAsia="Calibri"/>
                <w:b/>
                <w:i w:val="0"/>
                <w:color w:val="1F4E79"/>
                <w:sz w:val="21"/>
              </w:rPr>
              <w:t>Checkpoint questions</w:t>
            </w:r>
          </w:p>
          <w:p>
            <w:pPr>
              <w:ind w:left="170" w:hanging="142"/>
            </w:pPr>
            <w:r>
              <w:rPr>
                <w:rFonts w:ascii="Calibri" w:hAnsi="Calibri" w:eastAsia="Calibri"/>
                <w:b/>
                <w:i w:val="0"/>
                <w:color w:val="2F6E9E"/>
                <w:sz w:val="20"/>
              </w:rPr>
              <w:t xml:space="preserve">• </w:t>
            </w:r>
            <w:r>
              <w:rPr>
                <w:rFonts w:ascii="Calibri" w:hAnsi="Calibri" w:eastAsia="Calibri"/>
                <w:b w:val="0"/>
                <w:i w:val="0"/>
                <w:color w:val="222222"/>
                <w:sz w:val="20"/>
              </w:rPr>
              <w:t>Does RT look roughly plausible for a lexical decision task?</w:t>
            </w:r>
          </w:p>
          <w:p>
            <w:pPr>
              <w:ind w:left="170" w:hanging="142"/>
            </w:pPr>
            <w:r>
              <w:rPr>
                <w:rFonts w:ascii="Calibri" w:hAnsi="Calibri" w:eastAsia="Calibri"/>
                <w:b/>
                <w:i w:val="0"/>
                <w:color w:val="2F6E9E"/>
                <w:sz w:val="20"/>
              </w:rPr>
              <w:t xml:space="preserve">• </w:t>
            </w:r>
            <w:r>
              <w:rPr>
                <w:rFonts w:ascii="Calibri" w:hAnsi="Calibri" w:eastAsia="Calibri"/>
                <w:b w:val="0"/>
                <w:i w:val="0"/>
                <w:color w:val="222222"/>
                <w:sz w:val="20"/>
              </w:rPr>
              <w:t>Do any variables look especially skewed or unusual?</w:t>
            </w:r>
          </w:p>
          <w:p>
            <w:pPr>
              <w:ind w:left="170" w:hanging="142"/>
              <w:rPr>
                <w:rFonts w:ascii="Calibri" w:hAnsi="Calibri" w:eastAsia="Calibri"/>
                <w:b w:val="0"/>
                <w:i w:val="0"/>
                <w:color w:val="222222"/>
                <w:sz w:val="20"/>
              </w:rPr>
            </w:pPr>
            <w:r>
              <w:rPr>
                <w:rFonts w:ascii="Calibri" w:hAnsi="Calibri" w:eastAsia="Calibri"/>
                <w:b/>
                <w:i w:val="0"/>
                <w:color w:val="2F6E9E"/>
                <w:sz w:val="20"/>
              </w:rPr>
              <w:t xml:space="preserve">• </w:t>
            </w:r>
            <w:r>
              <w:rPr>
                <w:rFonts w:ascii="Calibri" w:hAnsi="Calibri" w:eastAsia="Calibri"/>
                <w:b w:val="0"/>
                <w:i w:val="0"/>
                <w:color w:val="222222"/>
                <w:sz w:val="20"/>
              </w:rPr>
              <w:t>Are there missing values you need to keep in mind?</w:t>
            </w:r>
          </w:p>
          <w:p>
            <w:pPr>
              <w:ind w:left="170" w:hanging="142"/>
            </w:pPr>
            <w:r>
              <w:rPr>
                <w:rFonts w:ascii="Calibri" w:hAnsi="Calibri" w:eastAsia="Calibri"/>
                <w:b w:val="0"/>
                <w:i w:val="0"/>
                <w:color w:val="222222"/>
                <w:sz w:val="20"/>
              </w:rPr>
              <w:t xml:space="preserve">Do more frequent words appear </w:t>
            </w:r>
            <w:r>
              <w:rPr>
                <w:rFonts w:hint="default" w:eastAsia="Calibri"/>
                <w:b w:val="0"/>
                <w:i w:val="0"/>
                <w:color w:val="222222"/>
                <w:sz w:val="20"/>
                <w:lang w:val="en-GB"/>
              </w:rPr>
              <w:t xml:space="preserve">to lead to </w:t>
            </w:r>
            <w:r>
              <w:rPr>
                <w:rFonts w:ascii="Calibri" w:hAnsi="Calibri" w:eastAsia="Calibri"/>
                <w:b w:val="0"/>
                <w:i w:val="0"/>
                <w:color w:val="222222"/>
                <w:sz w:val="20"/>
              </w:rPr>
              <w:t xml:space="preserve">faster </w:t>
            </w:r>
            <w:r>
              <w:rPr>
                <w:rFonts w:hint="default" w:eastAsia="Calibri"/>
                <w:b w:val="0"/>
                <w:i w:val="0"/>
                <w:color w:val="222222"/>
                <w:sz w:val="20"/>
                <w:lang w:val="en-GB"/>
              </w:rPr>
              <w:t xml:space="preserve">decisions </w:t>
            </w:r>
            <w:r>
              <w:rPr>
                <w:rFonts w:ascii="Calibri" w:hAnsi="Calibri" w:eastAsia="Calibri"/>
                <w:b w:val="0"/>
                <w:i w:val="0"/>
                <w:color w:val="222222"/>
                <w:sz w:val="20"/>
              </w:rPr>
              <w:t>on the scatterplot?</w:t>
            </w:r>
          </w:p>
          <w:p>
            <w:pPr>
              <w:ind w:left="170" w:hanging="142"/>
              <w:rPr>
                <w:rFonts w:ascii="Calibri" w:hAnsi="Calibri" w:eastAsia="Calibri"/>
                <w:b w:val="0"/>
                <w:i w:val="0"/>
                <w:color w:val="222222"/>
                <w:sz w:val="20"/>
              </w:rPr>
            </w:pPr>
          </w:p>
        </w:tc>
      </w:tr>
    </w:tbl>
    <w:p>
      <w:pPr>
        <w:pStyle w:val="165"/>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1973"/>
        <w:gridCol w:w="1973"/>
        <w:gridCol w:w="1973"/>
        <w:gridCol w:w="19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Variable</w:t>
            </w:r>
          </w:p>
        </w:tc>
        <w:tc>
          <w:tcPr>
            <w:tcW w:w="1701"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Mean</w:t>
            </w:r>
          </w:p>
        </w:tc>
        <w:tc>
          <w:tcPr>
            <w:tcW w:w="1701"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SD</w:t>
            </w:r>
          </w:p>
        </w:tc>
        <w:tc>
          <w:tcPr>
            <w:tcW w:w="1701"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Min</w:t>
            </w:r>
          </w:p>
        </w:tc>
        <w:tc>
          <w:tcPr>
            <w:tcW w:w="1701"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Max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mean_RT_ms</w:t>
            </w: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length</w:t>
            </w:r>
          </w:p>
        </w:tc>
        <w:tc>
          <w:tcPr>
            <w:tcW w:w="1701"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p>
        </w:tc>
        <w:tc>
          <w:tcPr>
            <w:tcW w:w="1701"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p>
        </w:tc>
        <w:tc>
          <w:tcPr>
            <w:tcW w:w="1701"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p>
        </w:tc>
        <w:tc>
          <w:tcPr>
            <w:tcW w:w="1701"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log_frequency</w:t>
            </w: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AoA</w:t>
            </w:r>
          </w:p>
        </w:tc>
        <w:tc>
          <w:tcPr>
            <w:tcW w:w="1701"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p>
        </w:tc>
        <w:tc>
          <w:tcPr>
            <w:tcW w:w="1701"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p>
        </w:tc>
        <w:tc>
          <w:tcPr>
            <w:tcW w:w="1701"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p>
        </w:tc>
        <w:tc>
          <w:tcPr>
            <w:tcW w:w="1701"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OLD20</w:t>
            </w: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r>
    </w:tbl>
    <w:p>
      <w:pPr>
        <w:pStyle w:val="165"/>
      </w:pPr>
    </w:p>
    <w:p>
      <w:pPr>
        <w:pStyle w:val="166"/>
      </w:pPr>
      <w:r>
        <w:t>6. Bridge to regression with one simple relation</w:t>
      </w:r>
    </w:p>
    <w:p>
      <w:r>
        <w:t>Before multiple regression, run one simple predictor-predictor relation. The most useful first check is the correlation between log_frequency and AoA.</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Are earlier-acquired words also often more frequent?</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If those predictors overlap, what might happen when both are in the same model?</w:t>
      </w:r>
    </w:p>
    <w:p>
      <w:pPr>
        <w:ind w:left="255" w:hanging="198"/>
        <w:rPr>
          <w:rFonts w:hint="default"/>
          <w:lang w:val="en-GB"/>
        </w:rPr>
      </w:pPr>
      <w:r>
        <w:rPr>
          <w:rFonts w:ascii="Calibri" w:hAnsi="Calibri" w:eastAsia="Calibri"/>
          <w:b/>
          <w:i w:val="0"/>
          <w:color w:val="2F6E9E"/>
          <w:sz w:val="21"/>
        </w:rPr>
        <w:t xml:space="preserve">• </w:t>
      </w:r>
      <w:r>
        <w:rPr>
          <w:rFonts w:ascii="Calibri" w:hAnsi="Calibri" w:eastAsia="Calibri"/>
          <w:b w:val="0"/>
          <w:i w:val="0"/>
          <w:color w:val="222222"/>
          <w:sz w:val="21"/>
        </w:rPr>
        <w:t>How might that change the way you interpret a coefficient?</w:t>
      </w:r>
      <w:r>
        <w:rPr>
          <w:rFonts w:hint="default" w:eastAsia="Calibri"/>
          <w:b w:val="0"/>
          <w:i w:val="0"/>
          <w:color w:val="222222"/>
          <w:sz w:val="21"/>
          <w:lang w:val="en-GB"/>
        </w:rPr>
        <w:t xml:space="preserve"> Consider diagnostics one can use. </w:t>
      </w:r>
    </w:p>
    <w:p>
      <w:pPr>
        <w:pStyle w:val="166"/>
      </w:pPr>
      <w:r>
        <w:t>7. Build the model in stages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9"/>
        <w:gridCol w:w="3289"/>
        <w:gridCol w:w="32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04"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Model</w:t>
            </w:r>
          </w:p>
        </w:tc>
        <w:tc>
          <w:tcPr>
            <w:tcW w:w="4365"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Formula</w:t>
            </w:r>
          </w:p>
        </w:tc>
        <w:tc>
          <w:tcPr>
            <w:tcW w:w="3969"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Purpose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Model 1</w:t>
            </w:r>
          </w:p>
        </w:tc>
        <w:tc>
          <w:tcPr>
            <w:tcW w:w="436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mean_RT_ms ~ log_frequency</w:t>
            </w:r>
          </w:p>
        </w:tc>
        <w:tc>
          <w:tcPr>
            <w:tcW w:w="3969"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Start with the basic frequency effect.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04"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Model 2</w:t>
            </w:r>
          </w:p>
        </w:tc>
        <w:tc>
          <w:tcPr>
            <w:tcW w:w="4365"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mean_RT_ms ~ log_frequency + length</w:t>
            </w:r>
          </w:p>
        </w:tc>
        <w:tc>
          <w:tcPr>
            <w:tcW w:w="3969"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Test whether length adds anything once frequency is in the model.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Model 3</w:t>
            </w:r>
          </w:p>
        </w:tc>
        <w:tc>
          <w:tcPr>
            <w:tcW w:w="436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mean_RT_ms ~ log_frequency + length + AoA</w:t>
            </w:r>
          </w:p>
        </w:tc>
        <w:tc>
          <w:tcPr>
            <w:tcW w:w="3969"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Ask whether learning history still matters.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Model 4</w:t>
            </w:r>
          </w:p>
        </w:tc>
        <w:tc>
          <w:tcPr>
            <w:tcW w:w="4365"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mean_RT_ms ~ log_frequency + length + AoA + OLD20</w:t>
            </w:r>
          </w:p>
        </w:tc>
        <w:tc>
          <w:tcPr>
            <w:tcW w:w="3969"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Run the full core model.</w:t>
            </w:r>
          </w:p>
        </w:tc>
      </w:tr>
    </w:tbl>
    <w:p>
      <w:pPr>
        <w:pStyle w:val="165"/>
      </w:pPr>
    </w:p>
    <w:p>
      <w:pPr>
        <w:rPr>
          <w:rFonts w:hint="default"/>
          <w:lang w:val="en-GB"/>
        </w:rPr>
      </w:pPr>
      <w:r>
        <w:t>In Jamovi, go to Analyses &gt; Regression &gt; Linear Regression. Set mean_RT_ms as the dependent variable</w:t>
      </w:r>
      <w:r>
        <w:rPr>
          <w:rFonts w:hint="default"/>
          <w:lang w:val="en-GB"/>
        </w:rPr>
        <w:t xml:space="preserve">, and start with the simplest model. Then build up the models one by one. </w:t>
      </w:r>
      <w:r>
        <w:t xml:space="preserve"> </w:t>
      </w:r>
      <w:r>
        <w:rPr>
          <w:rFonts w:hint="default"/>
          <w:lang w:val="en-GB"/>
        </w:rPr>
        <w:t xml:space="preserve">Start with the simplest mode, and observe changes to the R² across the models, and how much it changes. </w:t>
      </w:r>
    </w:p>
    <w:p>
      <w:pPr>
        <w:rPr>
          <w:rFonts w:hint="default"/>
          <w:lang w:val="en-GB"/>
        </w:rPr>
      </w:pPr>
      <w:r>
        <w:rPr>
          <w:rFonts w:hint="default"/>
          <w:lang w:val="en-GB"/>
        </w:rPr>
        <w:t>If you want to go the more complicated route, you can use the build model feature in Jamovi, but if you want to keep things simple, just do each model manually and note the changes below.</w:t>
      </w:r>
    </w:p>
    <w:p>
      <w:r>
        <w:rPr>
          <w:rFonts w:hint="default"/>
          <w:lang w:val="en-GB"/>
        </w:rPr>
        <w:t xml:space="preserve">From the standardised section, tick the box for </w:t>
      </w:r>
      <w:r>
        <w:t xml:space="preserve">standardised estimates. </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6"/>
        <w:gridCol w:w="2466"/>
        <w:gridCol w:w="2466"/>
        <w:gridCol w:w="2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04"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Model</w:t>
            </w:r>
          </w:p>
        </w:tc>
        <w:tc>
          <w:tcPr>
            <w:tcW w:w="1814"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R² or model fit</w:t>
            </w:r>
          </w:p>
        </w:tc>
        <w:tc>
          <w:tcPr>
            <w:tcW w:w="3061"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R²</w:t>
            </w:r>
            <w:r>
              <w:rPr>
                <w:rFonts w:hint="default" w:eastAsia="Calibri"/>
                <w:b/>
                <w:i w:val="0"/>
                <w:color w:val="FFFFFF"/>
                <w:sz w:val="19"/>
                <w:lang w:val="en-GB"/>
              </w:rPr>
              <w:t xml:space="preserve"> </w:t>
            </w:r>
            <w:r>
              <w:rPr>
                <w:rFonts w:ascii="Calibri" w:hAnsi="Calibri" w:eastAsia="Calibri"/>
                <w:b/>
                <w:i w:val="0"/>
                <w:color w:val="FFFFFF"/>
                <w:sz w:val="19"/>
              </w:rPr>
              <w:t>change?</w:t>
            </w:r>
          </w:p>
        </w:tc>
        <w:tc>
          <w:tcPr>
            <w:tcW w:w="3458"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rPr>
                <w:rFonts w:hint="default"/>
                <w:lang w:val="en-GB"/>
              </w:rPr>
            </w:pPr>
            <w:r>
              <w:rPr>
                <w:rFonts w:hint="default" w:eastAsia="Calibri"/>
                <w:b/>
                <w:i w:val="0"/>
                <w:color w:val="FFFFFF"/>
                <w:sz w:val="19"/>
                <w:lang w:val="en-GB"/>
              </w:rPr>
              <w:t>Notes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Model 1</w:t>
            </w:r>
          </w:p>
        </w:tc>
        <w:tc>
          <w:tcPr>
            <w:tcW w:w="1814"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c>
          <w:tcPr>
            <w:tcW w:w="306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rPr>
                <w:rFonts w:hint="default"/>
                <w:lang w:val="en-GB"/>
              </w:rPr>
            </w:pPr>
            <w:r>
              <w:rPr>
                <w:rFonts w:hint="default"/>
                <w:lang w:val="en-GB"/>
              </w:rPr>
              <w:t>N/A</w:t>
            </w:r>
          </w:p>
        </w:tc>
        <w:tc>
          <w:tcPr>
            <w:tcW w:w="3458"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Model 2</w:t>
            </w:r>
          </w:p>
        </w:tc>
        <w:tc>
          <w:tcPr>
            <w:tcW w:w="1814"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p>
        </w:tc>
        <w:tc>
          <w:tcPr>
            <w:tcW w:w="3061"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p>
        </w:tc>
        <w:tc>
          <w:tcPr>
            <w:tcW w:w="3458"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04"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Model 3</w:t>
            </w:r>
          </w:p>
        </w:tc>
        <w:tc>
          <w:tcPr>
            <w:tcW w:w="1814"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c>
          <w:tcPr>
            <w:tcW w:w="306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c>
          <w:tcPr>
            <w:tcW w:w="3458"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Model 4</w:t>
            </w:r>
          </w:p>
        </w:tc>
        <w:tc>
          <w:tcPr>
            <w:tcW w:w="1814"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p>
        </w:tc>
        <w:tc>
          <w:tcPr>
            <w:tcW w:w="3061"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p>
        </w:tc>
        <w:tc>
          <w:tcPr>
            <w:tcW w:w="3458"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p>
        </w:tc>
      </w:tr>
    </w:tbl>
    <w:p>
      <w:pPr>
        <w:pStyle w:val="165"/>
      </w:pPr>
    </w:p>
    <w:p>
      <w:pPr>
        <w:pStyle w:val="166"/>
        <w:rPr>
          <w:rFonts w:hint="default"/>
          <w:lang w:val="en-GB"/>
        </w:rPr>
      </w:pPr>
      <w:r>
        <w:t xml:space="preserve">8. </w:t>
      </w:r>
      <w:r>
        <w:rPr>
          <w:rFonts w:hint="default"/>
          <w:lang w:val="en-GB"/>
        </w:rPr>
        <w:t xml:space="preserve">Record your results. </w:t>
      </w:r>
    </w:p>
    <w:p>
      <w:pPr>
        <w:rPr>
          <w:rFonts w:hint="default"/>
          <w:lang w:val="en-GB"/>
        </w:rPr>
      </w:pPr>
      <w:r>
        <w:t xml:space="preserve">Use the </w:t>
      </w:r>
      <w:r>
        <w:rPr>
          <w:rFonts w:hint="default"/>
          <w:lang w:val="en-GB"/>
        </w:rPr>
        <w:t xml:space="preserve">final </w:t>
      </w:r>
      <w:r>
        <w:t xml:space="preserve">regression output </w:t>
      </w:r>
      <w:r>
        <w:rPr>
          <w:rFonts w:hint="default"/>
          <w:lang w:val="en-GB"/>
        </w:rPr>
        <w:t xml:space="preserve">(Model 4) </w:t>
      </w:r>
      <w:r>
        <w:t>to decide whether each predictor shows a unique association with mean lexical decision RT once the other predictors are included in the model.</w:t>
      </w:r>
      <w:r>
        <w:rPr>
          <w:rFonts w:hint="default"/>
          <w:lang w:val="en-GB"/>
        </w:rPr>
        <w:t xml:space="preserve"> Use sentence prose. </w:t>
      </w:r>
    </w:p>
    <w:p>
      <w:pPr>
        <w:rPr>
          <w:rFonts w:hint="default"/>
          <w:lang w:val="en-GB"/>
        </w:rPr>
      </w:pPr>
      <w:r>
        <w:rPr>
          <w:rFonts w:hint="default"/>
          <w:lang w:val="en-GB"/>
        </w:rPr>
        <w:t xml:space="preserve">For the overall model, report the </w:t>
      </w:r>
      <w:r>
        <w:t>R²</w:t>
      </w:r>
      <w:r>
        <w:rPr>
          <w:rFonts w:hint="default"/>
          <w:lang w:val="en-GB"/>
        </w:rPr>
        <w:t>.</w:t>
      </w:r>
    </w:p>
    <w:p>
      <w:r>
        <w:t>For each predictor, report:</w:t>
      </w:r>
    </w:p>
    <w:p>
      <w:r>
        <w:t>• the coefficient (b)</w:t>
      </w:r>
    </w:p>
    <w:p>
      <w:r>
        <w:t>• its standard error (SE)</w:t>
      </w:r>
    </w:p>
    <w:p>
      <w:r>
        <w:t>• its p value</w:t>
      </w:r>
    </w:p>
    <w:p>
      <w:r>
        <w:t>• the direction of the effect in plain language</w:t>
      </w:r>
    </w:p>
    <w:p/>
    <w:p>
      <w:r>
        <w:t>Treat a predictor as supported only if the coefficient is in a meaningful direction and the regression output provides clear evidence for a unique effect once the other predictors are included.</w:t>
      </w:r>
    </w:p>
    <w:p/>
    <w:tbl>
      <w:tblPr>
        <w:tblStyle w:val="12"/>
        <w:tblpPr w:leftFromText="180" w:rightFromText="180" w:vertAnchor="text" w:horzAnchor="page" w:tblpX="1126" w:tblpY="648"/>
        <w:tblOverlap w:val="never"/>
        <w:tblW w:w="0" w:type="auto"/>
        <w:tblInd w:w="0" w:type="dxa"/>
        <w:tblLayout w:type="fixed"/>
        <w:tblCellMar>
          <w:top w:w="0" w:type="dxa"/>
          <w:left w:w="108" w:type="dxa"/>
          <w:bottom w:w="0" w:type="dxa"/>
          <w:right w:w="108" w:type="dxa"/>
        </w:tblCellMar>
      </w:tblPr>
      <w:tblGrid>
        <w:gridCol w:w="9866"/>
      </w:tblGrid>
      <w:tr>
        <w:tblPrEx>
          <w:tblCellMar>
            <w:top w:w="0" w:type="dxa"/>
            <w:left w:w="108" w:type="dxa"/>
            <w:bottom w:w="0" w:type="dxa"/>
            <w:right w:w="108" w:type="dxa"/>
          </w:tblCellMar>
        </w:tblPrEx>
        <w:tc>
          <w:tcPr>
            <w:tcW w:w="9866" w:type="dxa"/>
            <w:tcBorders>
              <w:top w:val="single" w:color="1F4E79" w:sz="10" w:space="0"/>
              <w:left w:val="single" w:color="1F4E79" w:sz="10" w:space="0"/>
              <w:bottom w:val="single" w:color="1F4E79" w:sz="10" w:space="0"/>
              <w:right w:val="single" w:color="1F4E79" w:sz="10" w:space="0"/>
            </w:tcBorders>
            <w:shd w:val="clear" w:color="auto" w:fill="EAF2F8"/>
            <w:tcMar>
              <w:top w:w="110" w:type="dxa"/>
              <w:left w:w="120" w:type="dxa"/>
              <w:bottom w:w="110" w:type="dxa"/>
              <w:right w:w="120" w:type="dxa"/>
            </w:tcMar>
          </w:tcPr>
          <w:p>
            <w:pPr>
              <w:ind w:left="170" w:hanging="142"/>
            </w:pPr>
          </w:p>
          <w:p>
            <w:pPr>
              <w:ind w:left="170" w:hanging="142"/>
            </w:pPr>
          </w:p>
          <w:p>
            <w:pPr>
              <w:ind w:left="170" w:hanging="142"/>
            </w:pPr>
          </w:p>
          <w:p>
            <w:pPr>
              <w:ind w:left="170" w:hanging="142"/>
            </w:pPr>
          </w:p>
          <w:p>
            <w:pPr>
              <w:ind w:left="170" w:hanging="142"/>
            </w:pPr>
          </w:p>
          <w:p>
            <w:pPr>
              <w:ind w:left="170" w:hanging="142"/>
            </w:pPr>
          </w:p>
          <w:p>
            <w:pPr>
              <w:ind w:left="170" w:hanging="142"/>
            </w:pPr>
          </w:p>
          <w:p>
            <w:pPr>
              <w:ind w:left="170" w:hanging="142"/>
            </w:pPr>
          </w:p>
          <w:p>
            <w:pPr>
              <w:ind w:left="170" w:hanging="142"/>
            </w:pPr>
          </w:p>
          <w:p>
            <w:pPr>
              <w:ind w:left="170" w:hanging="142"/>
            </w:pPr>
          </w:p>
          <w:p>
            <w:pPr>
              <w:ind w:left="170" w:hanging="142"/>
            </w:pPr>
          </w:p>
          <w:p>
            <w:pPr>
              <w:ind w:left="170" w:hanging="142"/>
            </w:pPr>
          </w:p>
          <w:p>
            <w:pPr>
              <w:ind w:left="170" w:hanging="142"/>
            </w:pPr>
          </w:p>
          <w:p>
            <w:pPr>
              <w:ind w:left="170" w:hanging="142"/>
            </w:pPr>
          </w:p>
          <w:p>
            <w:pPr>
              <w:ind w:left="170" w:hanging="142"/>
            </w:pPr>
          </w:p>
          <w:p>
            <w:pPr>
              <w:ind w:left="170" w:hanging="142"/>
            </w:pPr>
          </w:p>
        </w:tc>
      </w:tr>
    </w:tbl>
    <w:p/>
    <w:p>
      <w:pPr>
        <w:pStyle w:val="166"/>
        <w:rPr>
          <w:rFonts w:hint="default"/>
          <w:lang w:val="en-GB"/>
        </w:rPr>
      </w:pPr>
    </w:p>
    <w:p>
      <w:pPr>
        <w:pStyle w:val="166"/>
        <w:rPr>
          <w:rFonts w:hint="default"/>
          <w:lang w:val="en-GB"/>
        </w:rPr>
      </w:pPr>
      <w:r>
        <w:rPr>
          <w:rFonts w:hint="default"/>
          <w:lang w:val="en-GB"/>
        </w:rPr>
        <w:t>9</w:t>
      </w:r>
      <w:r>
        <w:t xml:space="preserve">. </w:t>
      </w:r>
      <w:r>
        <w:rPr>
          <w:rFonts w:hint="default"/>
        </w:rPr>
        <w:t>Interpret the final model</w:t>
      </w:r>
    </w:p>
    <w:p/>
    <w:p>
      <w:pPr>
        <w:rPr>
          <w:rFonts w:hint="default"/>
        </w:rPr>
      </w:pPr>
      <w:r>
        <w:rPr>
          <w:rFonts w:hint="default"/>
        </w:rPr>
        <w:t>Using the results you recorded in Section 8, write a short paragraph in prose.</w:t>
      </w:r>
    </w:p>
    <w:p>
      <w:pPr>
        <w:rPr>
          <w:rFonts w:hint="default"/>
        </w:rPr>
      </w:pPr>
    </w:p>
    <w:p>
      <w:pPr>
        <w:rPr>
          <w:rFonts w:hint="default"/>
        </w:rPr>
      </w:pPr>
      <w:r>
        <w:rPr>
          <w:rFonts w:hint="default"/>
        </w:rPr>
        <w:t xml:space="preserve">Your </w:t>
      </w:r>
      <w:r>
        <w:rPr>
          <w:rFonts w:hint="default"/>
          <w:lang w:val="en-GB"/>
        </w:rPr>
        <w:t xml:space="preserve">text </w:t>
      </w:r>
      <w:r>
        <w:rPr>
          <w:rFonts w:hint="default"/>
        </w:rPr>
        <w:t>should include:</w:t>
      </w:r>
    </w:p>
    <w:p>
      <w:pPr>
        <w:numPr>
          <w:ilvl w:val="0"/>
          <w:numId w:val="7"/>
        </w:numPr>
        <w:ind w:left="420" w:leftChars="0" w:hanging="420" w:firstLineChars="0"/>
        <w:rPr/>
      </w:pPr>
      <w:r>
        <w:rPr>
          <w:rFonts w:hint="default"/>
        </w:rPr>
        <w:t>one sentence reporting the overall model fit</w:t>
      </w:r>
    </w:p>
    <w:p>
      <w:pPr>
        <w:numPr>
          <w:ilvl w:val="0"/>
          <w:numId w:val="7"/>
        </w:numPr>
        <w:ind w:left="420" w:leftChars="0" w:hanging="420" w:firstLineChars="0"/>
        <w:rPr/>
      </w:pPr>
      <w:r>
        <w:rPr>
          <w:rFonts w:hint="default"/>
        </w:rPr>
        <w:t>one sentence reporting which predictors showed unique effects</w:t>
      </w:r>
    </w:p>
    <w:p>
      <w:pPr>
        <w:numPr>
          <w:ilvl w:val="0"/>
          <w:numId w:val="7"/>
        </w:numPr>
        <w:ind w:left="420" w:leftChars="0" w:hanging="420" w:firstLineChars="0"/>
        <w:rPr/>
      </w:pPr>
      <w:r>
        <w:rPr>
          <w:rFonts w:hint="default"/>
        </w:rPr>
        <w:t xml:space="preserve">one sentence stating whether the pattern supports </w:t>
      </w:r>
      <w:r>
        <w:rPr>
          <w:rFonts w:hint="default"/>
          <w:lang w:val="en-GB"/>
        </w:rPr>
        <w:t xml:space="preserve">any particular account </w:t>
      </w:r>
    </w:p>
    <w:p>
      <w:pPr>
        <w:numPr>
          <w:ilvl w:val="0"/>
          <w:numId w:val="7"/>
        </w:numPr>
        <w:ind w:left="420" w:leftChars="0" w:hanging="420" w:firstLineChars="0"/>
        <w:rPr/>
      </w:pPr>
      <w:r>
        <w:t>one sentence in plain language explaining why some words were recognised faster than others</w:t>
      </w:r>
    </w:p>
    <w:p>
      <w:pPr>
        <w:numPr>
          <w:ilvl w:val="0"/>
          <w:numId w:val="7"/>
        </w:numPr>
        <w:ind w:left="420" w:leftChars="0" w:hanging="420" w:firstLineChars="0"/>
        <w:rPr/>
      </w:pPr>
      <w:r>
        <w:rPr>
          <w:rFonts w:hint="default"/>
        </w:rPr>
        <w:t>one sentence stating what lexical decision RT is generally taken to reflect</w:t>
      </w:r>
    </w:p>
    <w:p>
      <w:pPr>
        <w:rPr>
          <w:b/>
          <w:bCs/>
        </w:rPr>
      </w:pPr>
    </w:p>
    <w:p>
      <w:pPr>
        <w:rPr>
          <w:b/>
          <w:bCs/>
        </w:rPr>
      </w:pPr>
      <w:r>
        <w:rPr>
          <w:b/>
          <w:bCs/>
        </w:rPr>
        <w:t>Sentence frame</w:t>
      </w:r>
      <w:r>
        <w:rPr>
          <w:rFonts w:hint="default"/>
          <w:b/>
          <w:bCs/>
          <w:lang w:val="en-GB"/>
        </w:rPr>
        <w:t>s</w:t>
      </w:r>
      <w:r>
        <w:rPr>
          <w:b/>
          <w:bCs/>
        </w:rPr>
        <w:t xml:space="preserve"> (optional):</w:t>
      </w:r>
    </w:p>
    <w:p>
      <w:r>
        <w:t>• Descriptive statistics showed that ...</w:t>
      </w:r>
    </w:p>
    <w:p>
      <w:r>
        <w:t>• The correlation between log_frequency and AoA was ...</w:t>
      </w:r>
    </w:p>
    <w:p>
      <w:r>
        <w:t>• A multiple regression tested whether ...</w:t>
      </w:r>
    </w:p>
    <w:p>
      <w:r>
        <w:t>• AoA </w:t>
      </w:r>
      <w:r>
        <w:rPr>
          <w:rFonts w:hint="default"/>
          <w:lang w:val="en-GB"/>
        </w:rPr>
        <w:t xml:space="preserve">(etc...) </w:t>
      </w:r>
      <w:r>
        <w:rPr>
          <w:rFonts w:hint="default"/>
        </w:rPr>
        <w:t>did / did not show a unique effect once the other predictors were included.</w:t>
      </w:r>
    </w:p>
    <w:p>
      <w:r>
        <w:t>• The model explained ...</w:t>
      </w:r>
    </w:p>
    <w:p>
      <w:r>
        <w:t>• [Predictor] showed / did not show a unique effect ...</w:t>
      </w:r>
    </w:p>
    <w:p>
      <w:r>
        <w:t>• Overall, the pattern suggests ...</w:t>
      </w:r>
    </w:p>
    <w:p>
      <w:pPr>
        <w:pStyle w:val="165"/>
      </w:pPr>
    </w:p>
    <w:tbl>
      <w:tblPr>
        <w:tblStyle w:val="12"/>
        <w:tblW w:w="0" w:type="auto"/>
        <w:jc w:val="center"/>
        <w:tblLayout w:type="fixed"/>
        <w:tblCellMar>
          <w:top w:w="0" w:type="dxa"/>
          <w:left w:w="108" w:type="dxa"/>
          <w:bottom w:w="0" w:type="dxa"/>
          <w:right w:w="108" w:type="dxa"/>
        </w:tblCellMar>
      </w:tblPr>
      <w:tblGrid>
        <w:gridCol w:w="9866"/>
      </w:tblGrid>
      <w:tr>
        <w:tblPrEx>
          <w:tblCellMar>
            <w:top w:w="0" w:type="dxa"/>
            <w:left w:w="108" w:type="dxa"/>
            <w:bottom w:w="0" w:type="dxa"/>
            <w:right w:w="108" w:type="dxa"/>
          </w:tblCellMar>
        </w:tblPrEx>
        <w:trPr>
          <w:jc w:val="center"/>
        </w:trPr>
        <w:tc>
          <w:tcPr>
            <w:tcW w:w="9638" w:type="dxa"/>
            <w:tcBorders>
              <w:top w:val="single" w:color="1F4E79" w:sz="10" w:space="0"/>
              <w:left w:val="single" w:color="1F4E79" w:sz="10" w:space="0"/>
              <w:bottom w:val="single" w:color="1F4E79" w:sz="10" w:space="0"/>
              <w:right w:val="single" w:color="1F4E79" w:sz="10" w:space="0"/>
            </w:tcBorders>
            <w:shd w:val="clear" w:color="auto" w:fill="EAF2F8"/>
            <w:tcMar>
              <w:top w:w="110" w:type="dxa"/>
              <w:left w:w="120" w:type="dxa"/>
              <w:bottom w:w="110" w:type="dxa"/>
              <w:right w:w="120" w:type="dxa"/>
            </w:tcMar>
          </w:tcPr>
          <w:p>
            <w:pPr>
              <w:ind w:left="170" w:hanging="142"/>
            </w:pPr>
          </w:p>
          <w:p>
            <w:pPr>
              <w:ind w:left="170" w:hanging="142"/>
            </w:pPr>
          </w:p>
          <w:p>
            <w:pPr>
              <w:ind w:left="170" w:hanging="142"/>
            </w:pPr>
          </w:p>
          <w:p>
            <w:pPr>
              <w:ind w:left="170" w:hanging="142"/>
            </w:pPr>
            <w:bookmarkStart w:id="0" w:name="_GoBack"/>
            <w:bookmarkEnd w:id="0"/>
          </w:p>
          <w:p>
            <w:pPr>
              <w:ind w:left="170" w:hanging="142"/>
            </w:pPr>
          </w:p>
          <w:p>
            <w:pPr>
              <w:ind w:left="170" w:hanging="142"/>
            </w:pPr>
          </w:p>
          <w:p>
            <w:pPr>
              <w:ind w:left="170" w:hanging="142"/>
            </w:pPr>
          </w:p>
          <w:p>
            <w:pPr>
              <w:ind w:left="170" w:hanging="142"/>
            </w:pPr>
          </w:p>
          <w:p>
            <w:pPr>
              <w:ind w:left="170" w:hanging="142"/>
            </w:pPr>
          </w:p>
          <w:p>
            <w:pPr>
              <w:ind w:left="170" w:hanging="142"/>
            </w:pPr>
          </w:p>
          <w:p>
            <w:pPr>
              <w:ind w:left="170" w:hanging="142"/>
            </w:pPr>
          </w:p>
          <w:p>
            <w:pPr>
              <w:ind w:left="170" w:hanging="142"/>
            </w:pPr>
          </w:p>
          <w:p>
            <w:pPr>
              <w:ind w:left="170" w:hanging="142"/>
            </w:pPr>
          </w:p>
          <w:p>
            <w:pPr>
              <w:ind w:left="170" w:hanging="142"/>
            </w:pPr>
          </w:p>
          <w:p>
            <w:pPr>
              <w:ind w:left="170" w:hanging="142"/>
            </w:pPr>
          </w:p>
          <w:p>
            <w:pPr>
              <w:ind w:left="170" w:hanging="142"/>
            </w:pPr>
          </w:p>
        </w:tc>
      </w:tr>
    </w:tbl>
    <w:p>
      <w:pPr>
        <w:pStyle w:val="165"/>
      </w:pPr>
    </w:p>
    <w:p>
      <w:r>
        <w:rPr>
          <w:rFonts w:hint="default"/>
          <w:lang w:val="en-GB"/>
        </w:rPr>
        <w:t xml:space="preserve">For interpretation, you could also </w:t>
      </w:r>
      <w:r>
        <w:t>state what lexical decision RT is generally taken to reflect, while noting that decision and response components may also contribute</w:t>
      </w:r>
      <w:r>
        <w:rPr>
          <w:rFonts w:hint="default"/>
          <w:lang w:val="en-GB"/>
        </w:rPr>
        <w:t xml:space="preserve"> to RT - i.e. lexical decision is not a “process pure” measure of lexical access.  </w:t>
      </w:r>
    </w:p>
    <w:p>
      <w:pPr>
        <w:pStyle w:val="166"/>
      </w:pPr>
      <w:r>
        <w:t>1</w:t>
      </w:r>
      <w:r>
        <w:rPr>
          <w:rFonts w:hint="default"/>
          <w:lang w:val="en-GB"/>
        </w:rPr>
        <w:t>0</w:t>
      </w:r>
      <w:r>
        <w:t>. If you finish early</w:t>
      </w:r>
    </w:p>
    <w:p>
      <w:pPr>
        <w:ind w:left="255" w:hanging="198"/>
        <w:rPr>
          <w:rFonts w:hint="default"/>
          <w:lang w:val="en-GB"/>
        </w:rPr>
      </w:pPr>
      <w:r>
        <w:rPr>
          <w:rFonts w:ascii="Calibri" w:hAnsi="Calibri" w:eastAsia="Calibri"/>
          <w:b/>
          <w:i w:val="0"/>
          <w:color w:val="2F6E9E"/>
          <w:sz w:val="21"/>
        </w:rPr>
        <w:t xml:space="preserve">• </w:t>
      </w:r>
      <w:r>
        <w:rPr>
          <w:rFonts w:ascii="Calibri" w:hAnsi="Calibri" w:eastAsia="Calibri"/>
          <w:b w:val="0"/>
          <w:i w:val="0"/>
          <w:color w:val="222222"/>
          <w:sz w:val="21"/>
        </w:rPr>
        <w:t>Inspect mean_accuracy as a descriptive chec</w:t>
      </w:r>
      <w:r>
        <w:rPr>
          <w:rFonts w:hint="default" w:eastAsia="Calibri"/>
          <w:b w:val="0"/>
          <w:i w:val="0"/>
          <w:color w:val="222222"/>
          <w:sz w:val="21"/>
          <w:lang w:val="en-GB"/>
        </w:rPr>
        <w:t>k. Look at the correlation with RT - is there a speed-accuracy tradeoff?</w:t>
      </w:r>
    </w:p>
    <w:p>
      <w:pPr>
        <w:ind w:left="255" w:hanging="198"/>
        <w:rPr>
          <w:rFonts w:ascii="Calibri" w:hAnsi="Calibri" w:eastAsia="Calibri"/>
          <w:b w:val="0"/>
          <w:i w:val="0"/>
          <w:color w:val="222222"/>
          <w:sz w:val="21"/>
        </w:rPr>
      </w:pPr>
      <w:r>
        <w:rPr>
          <w:rFonts w:ascii="Calibri" w:hAnsi="Calibri" w:eastAsia="Calibri"/>
          <w:b/>
          <w:i w:val="0"/>
          <w:color w:val="2F6E9E"/>
          <w:sz w:val="21"/>
        </w:rPr>
        <w:t xml:space="preserve">• </w:t>
      </w:r>
      <w:r>
        <w:rPr>
          <w:rFonts w:ascii="Calibri" w:hAnsi="Calibri" w:eastAsia="Calibri"/>
          <w:b w:val="0"/>
          <w:i w:val="0"/>
          <w:color w:val="222222"/>
          <w:sz w:val="21"/>
        </w:rPr>
        <w:t>Try one exploratory extension such as concreteness or contextual_diversity</w:t>
      </w:r>
    </w:p>
    <w:p>
      <w:pPr>
        <w:ind w:left="255" w:hanging="198"/>
        <w:rPr>
          <w:rFonts w:hint="default" w:eastAsia="Calibri"/>
          <w:b w:val="0"/>
          <w:i w:val="0"/>
          <w:color w:val="222222"/>
          <w:sz w:val="21"/>
          <w:lang w:val="en-GB"/>
        </w:rPr>
      </w:pPr>
      <w:r>
        <w:rPr>
          <w:rFonts w:ascii="Calibri" w:hAnsi="Calibri" w:eastAsia="Calibri"/>
          <w:b/>
          <w:i w:val="0"/>
          <w:color w:val="2F6E9E"/>
          <w:sz w:val="21"/>
        </w:rPr>
        <w:t xml:space="preserve">• </w:t>
      </w:r>
      <w:r>
        <w:rPr>
          <w:rFonts w:hint="default" w:eastAsia="Calibri"/>
          <w:b w:val="0"/>
          <w:i w:val="0"/>
          <w:color w:val="222222"/>
          <w:sz w:val="21"/>
          <w:lang w:val="en-GB"/>
        </w:rPr>
        <w:t>Explore the item level dataset.</w:t>
      </w:r>
    </w:p>
    <w:p>
      <w:pPr>
        <w:rPr>
          <w:rFonts w:hint="default" w:eastAsia="Calibri"/>
          <w:b w:val="0"/>
          <w:i w:val="0"/>
          <w:color w:val="222222"/>
          <w:sz w:val="21"/>
          <w:lang w:val="en-GB"/>
        </w:rPr>
      </w:pPr>
    </w:p>
    <w:p>
      <w:pPr>
        <w:pStyle w:val="166"/>
      </w:pPr>
      <w:r>
        <w:t>References</w:t>
      </w:r>
    </w:p>
    <w:p>
      <w:pPr>
        <w:pStyle w:val="168"/>
      </w:pPr>
      <w:r>
        <w:rPr>
          <w:rFonts w:ascii="Calibri" w:hAnsi="Calibri" w:eastAsia="Calibri"/>
          <w:b w:val="0"/>
          <w:i w:val="0"/>
          <w:color w:val="222222"/>
          <w:sz w:val="20"/>
        </w:rPr>
        <w:t>Balota, D. A., Yap, M. J., Cortese, M. J., Hutchison, K. A., Kessler, B., Loftis, B., Neely, J. H., Nelson, D. L., Simpson, G. B., &amp; Treiman, R. (2007). The English Lexicon Project. Behavior Research Methods, 39(3), 445-459. https://doi.org/10.3758/BF03193014</w:t>
      </w:r>
    </w:p>
    <w:p>
      <w:pPr>
        <w:pStyle w:val="168"/>
      </w:pPr>
      <w:r>
        <w:rPr>
          <w:rFonts w:ascii="Calibri" w:hAnsi="Calibri" w:eastAsia="Calibri"/>
          <w:b w:val="0"/>
          <w:i w:val="0"/>
          <w:color w:val="222222"/>
          <w:sz w:val="20"/>
        </w:rPr>
        <w:t>Kuperman, V., Stadthagen-Gonzalez, H., &amp; Brysbaert, M. (2012). Age-of-acquisition ratings for 30,000 English words. Behavior Research Methods, 44(4), 978-990. https://doi.org/10.3758/s13428-012-0210-4</w:t>
      </w:r>
    </w:p>
    <w:p>
      <w:pPr>
        <w:pStyle w:val="168"/>
      </w:pPr>
      <w:r>
        <w:rPr>
          <w:rFonts w:ascii="Calibri" w:hAnsi="Calibri" w:eastAsia="Calibri"/>
          <w:b w:val="0"/>
          <w:i w:val="0"/>
          <w:color w:val="222222"/>
          <w:sz w:val="20"/>
        </w:rPr>
        <w:t>Yarkoni, T., Balota, D., &amp; Yap, M. (2008). Moving beyond Coltheart's N: A new measure of orthographic similarity. Psychonomic Bulletin &amp; Review, 15(5), 971-979. https://doi.org/10.3758/PBR.15.5.971</w:t>
      </w:r>
    </w:p>
    <w:sectPr>
      <w:headerReference r:id="rId5" w:type="default"/>
      <w:footerReference r:id="rId6" w:type="default"/>
      <w:pgSz w:w="11906" w:h="16838"/>
      <w:pgMar w:top="907" w:right="1020" w:bottom="850" w:left="1020"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思源黑体 CN"/>
    <w:panose1 w:val="00000000000000000000"/>
    <w:charset w:val="86"/>
    <w:family w:val="auto"/>
    <w:pitch w:val="default"/>
    <w:sig w:usb0="00000000" w:usb1="00000000" w:usb2="00000000" w:usb3="00000000" w:csb0="00000000" w:csb1="00000000"/>
  </w:font>
  <w:font w:name="思源黑体 CN">
    <w:panose1 w:val="020B0500000000000000"/>
    <w:charset w:val="86"/>
    <w:family w:val="auto"/>
    <w:pitch w:val="default"/>
    <w:sig w:usb0="20000083" w:usb1="2ADF3C10" w:usb2="00000016" w:usb3="00000000" w:csb0="60060107" w:csb1="00000000"/>
  </w:font>
  <w:font w:name="Arial">
    <w:panose1 w:val="020B0604020202020204"/>
    <w:charset w:val="00"/>
    <w:family w:val="swiss"/>
    <w:pitch w:val="default"/>
    <w:sig w:usb0="00007A87" w:usb1="80000000" w:usb2="00000008" w:usb3="00000000" w:csb0="400001FF" w:csb1="FFFF0000"/>
  </w:font>
  <w:font w:name="黑体">
    <w:altName w:val="思源黑体 CN"/>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思源黑体 CN"/>
    <w:panose1 w:val="02010600030101010101"/>
    <w:charset w:val="86"/>
    <w:family w:val="auto"/>
    <w:pitch w:val="default"/>
    <w:sig w:usb0="00000000" w:usb1="00000000" w:usb2="00000010" w:usb3="00000000" w:csb0="00040001" w:csb1="0000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ＭＳ 明朝">
    <w:altName w:val="Source Han Sans JP"/>
    <w:panose1 w:val="00000000000000000000"/>
    <w:charset w:val="80"/>
    <w:family w:val="roman"/>
    <w:pitch w:val="default"/>
    <w:sig w:usb0="00000000" w:usb1="00000000" w:usb2="00000010" w:usb3="00000000" w:csb0="00020000" w:csb1="00000000"/>
  </w:font>
  <w:font w:name="Source Han Sans JP">
    <w:panose1 w:val="020B0500000000000000"/>
    <w:charset w:val="86"/>
    <w:family w:val="auto"/>
    <w:pitch w:val="default"/>
    <w:sig w:usb0="20000083" w:usb1="2ADF3C10" w:usb2="00000016" w:usb3="00000000" w:csb0="60060107" w:csb1="00000000"/>
  </w:font>
  <w:font w:name="ＭＳ 明朝">
    <w:altName w:val="Source Han Sans JP"/>
    <w:panose1 w:val="00000000000000000000"/>
    <w:charset w:val="86"/>
    <w:family w:val="auto"/>
    <w:pitch w:val="default"/>
    <w:sig w:usb0="00000000" w:usb1="00000000" w:usb2="00000000" w:usb3="00000000" w:csb0="00000000" w:csb1="00000000"/>
  </w:font>
  <w:font w:name="ＭＳ ゴシック">
    <w:altName w:val="Source Han Sans JP"/>
    <w:panose1 w:val="00000000000000000000"/>
    <w:charset w:val="80"/>
    <w:family w:val="modern"/>
    <w:pitch w:val="default"/>
    <w:sig w:usb0="00000000" w:usb1="00000000" w:usb2="00000010" w:usb3="00000000" w:csb0="00020000" w:csb1="00000000"/>
  </w:font>
  <w:font w:name="ＭＳ 明朝">
    <w:altName w:val="Source Han Sans JP"/>
    <w:panose1 w:val="00000000000000000000"/>
    <w:charset w:val="00"/>
    <w:family w:val="auto"/>
    <w:pitch w:val="default"/>
    <w:sig w:usb0="00000000" w:usb1="00000000" w:usb2="00000000" w:usb3="00000000" w:csb0="00000000" w:csb1="00000000"/>
  </w:font>
  <w:font w:name="Symbol">
    <w:altName w:val="AR PL New Kai ExtB"/>
    <w:panose1 w:val="00000000000000000000"/>
    <w:charset w:val="02"/>
    <w:family w:val="auto"/>
    <w:pitch w:val="default"/>
    <w:sig w:usb0="00000000" w:usb1="00000000" w:usb2="00000000" w:usb3="00000000" w:csb0="80000000" w:csb1="00000000"/>
  </w:font>
  <w:font w:name="AR PL New Kai ExtB">
    <w:panose1 w:val="020B0609010101010101"/>
    <w:charset w:val="00"/>
    <w:family w:val="auto"/>
    <w:pitch w:val="default"/>
    <w:sig w:usb0="00000001" w:usb1="0A000000" w:usb2="00000000" w:usb3="00000000" w:csb0="00000000" w:csb1="80000000"/>
  </w:font>
  <w:font w:name="Courier">
    <w:altName w:val="Cantarell"/>
    <w:panose1 w:val="02000500000000000000"/>
    <w:charset w:val="00"/>
    <w:family w:val="auto"/>
    <w:pitch w:val="default"/>
    <w:sig w:usb0="00000000" w:usb1="00000000" w:usb2="00000000" w:usb3="00000000" w:csb0="00000001" w:csb1="00000000"/>
  </w:font>
  <w:font w:name="Cantarell">
    <w:panose1 w:val="02000503000000000000"/>
    <w:charset w:val="00"/>
    <w:family w:val="auto"/>
    <w:pitch w:val="default"/>
    <w:sig w:usb0="E00002FF" w:usb1="4000217B" w:usb2="00000000" w:usb3="00000000" w:csb0="2000019F" w:csb1="00000000"/>
  </w:font>
  <w:font w:name="Symbol">
    <w:altName w:val="C059"/>
    <w:panose1 w:val="00000000000000000000"/>
    <w:charset w:val="00"/>
    <w:family w:val="auto"/>
    <w:pitch w:val="default"/>
    <w:sig w:usb0="00000000" w:usb1="00000000" w:usb2="00000000" w:usb3="00000000" w:csb0="00000000" w:csb1="00000000"/>
  </w:font>
  <w:font w:name="sans-serif">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DejaVu Sans">
    <w:panose1 w:val="020B0606030804020204"/>
    <w:charset w:val="00"/>
    <w:family w:val="auto"/>
    <w:pitch w:val="default"/>
    <w:sig w:usb0="E7006EFF" w:usb1="D200FDFF" w:usb2="0A246029" w:usb3="0400200C" w:csb0="600001FF" w:csb1="DFFF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center"/>
    </w:pPr>
    <w:r>
      <w:rPr>
        <w:rFonts w:ascii="Calibri" w:hAnsi="Calibri" w:eastAsia="Calibri"/>
        <w:b w:val="0"/>
        <w:i w:val="0"/>
        <w:color w:val="888888"/>
        <w:sz w:val="16"/>
      </w:rPr>
      <w:t>Student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jc w:val="right"/>
    </w:pPr>
    <w:r>
      <w:rPr>
        <w:rFonts w:ascii="Calibri" w:hAnsi="Calibri" w:eastAsia="Calibri"/>
        <w:b w:val="0"/>
        <w:i w:val="0"/>
        <w:color w:val="5E6A71"/>
        <w:sz w:val="17"/>
      </w:rPr>
      <w:t>Student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67E77DB7"/>
    <w:multiLevelType w:val="singleLevel"/>
    <w:tmpl w:val="67E77DB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DD3D0B4"/>
    <w:rsid w:val="524FC165"/>
    <w:rsid w:val="57FE42D3"/>
    <w:rsid w:val="5EEEDE38"/>
    <w:rsid w:val="6F9FF74E"/>
    <w:rsid w:val="777FC827"/>
    <w:rsid w:val="7F47471F"/>
    <w:rsid w:val="BBF73A5A"/>
    <w:rsid w:val="DCFC50AE"/>
    <w:rsid w:val="DEEFEA69"/>
    <w:rsid w:val="EBFD56F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69" w:lineRule="auto"/>
    </w:pPr>
    <w:rPr>
      <w:rFonts w:ascii="Calibri" w:hAnsi="Calibri" w:eastAsiaTheme="minorEastAsia" w:cstheme="minorBidi"/>
      <w:color w:val="222222"/>
      <w:sz w:val="21"/>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uiPriority w:val="99"/>
    <w:rPr>
      <w:sz w:val="24"/>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paragraph" w:customStyle="1" w:styleId="165">
    <w:name w:val="Body Small"/>
    <w:basedOn w:val="1"/>
    <w:qFormat/>
    <w:uiPriority w:val="0"/>
    <w:pPr>
      <w:spacing w:after="80" w:line="259" w:lineRule="auto"/>
    </w:pPr>
    <w:rPr>
      <w:rFonts w:ascii="Calibri" w:hAnsi="Calibri"/>
      <w:color w:val="5E6A71"/>
      <w:sz w:val="19"/>
    </w:rPr>
  </w:style>
  <w:style w:type="paragraph" w:customStyle="1" w:styleId="166">
    <w:name w:val="Section Heading"/>
    <w:basedOn w:val="1"/>
    <w:qFormat/>
    <w:uiPriority w:val="0"/>
    <w:pPr>
      <w:keepNext/>
      <w:spacing w:before="200" w:after="100"/>
    </w:pPr>
    <w:rPr>
      <w:rFonts w:ascii="Calibri" w:hAnsi="Calibri"/>
      <w:b/>
      <w:color w:val="1F4E79"/>
      <w:sz w:val="28"/>
    </w:rPr>
  </w:style>
  <w:style w:type="paragraph" w:customStyle="1" w:styleId="167">
    <w:name w:val="Subsection Heading"/>
    <w:basedOn w:val="1"/>
    <w:qFormat/>
    <w:uiPriority w:val="0"/>
    <w:pPr>
      <w:keepNext/>
      <w:spacing w:before="160" w:after="60"/>
    </w:pPr>
    <w:rPr>
      <w:rFonts w:ascii="Calibri" w:hAnsi="Calibri"/>
      <w:b/>
      <w:color w:val="2F6E9E"/>
      <w:sz w:val="23"/>
    </w:rPr>
  </w:style>
  <w:style w:type="paragraph" w:customStyle="1" w:styleId="168">
    <w:name w:val="Reference"/>
    <w:basedOn w:val="1"/>
    <w:qFormat/>
    <w:uiPriority w:val="0"/>
    <w:pPr>
      <w:spacing w:after="60" w:line="240" w:lineRule="auto"/>
      <w:ind w:left="340" w:hanging="340"/>
    </w:pPr>
    <w:rPr>
      <w:rFonts w:ascii="Calibri" w:hAnsi="Calibri"/>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19</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2013-12-24T06:15:00Z</dcterms:created>
  <dc:creator>python-docx</dc:creator>
  <dc:description>generated by python-docx</dc:description>
  <cp:lastModifiedBy>sl</cp:lastModifiedBy>
  <dcterms:modified xsi:type="dcterms:W3CDTF">2026-03-19T13:59:49Z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