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78D4"/>
          <w:sz w:val="44"/>
          <w:szCs w:val="44"/>
        </w:rPr>
        <w:t xml:space="preserve">Shane McCaw Consulting</w:t>
      </w:r>
    </w:p>
    <w:p>
      <w:pPr>
        <w:spacing w:after="40"/>
      </w:pPr>
      <w:r>
        <w:rPr>
          <w:b/>
          <w:bCs/>
          <w:sz w:val="32"/>
          <w:szCs w:val="32"/>
        </w:rPr>
        <w:t xml:space="preserve">Website Rebuild Specification — v1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Full-rebuild handoff for Replit / Claude Code. No backward compatibility required — existing site is unreleased.</w:t>
      </w:r>
    </w:p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20"/>
      </w:pPr>
      <w:r>
        <w:t xml:space="preserve">This spec governs a full rebuild of the public marketing website (artifacts/shane-mccaw-consulting). It replaces the current site's linear Assessments → Projects → Retainer model and its CRM-coupled checkout with a two-funnel, monitoring-first model that hosts checkout natively on the website.</w:t>
      </w:r>
    </w:p>
    <w:p>
      <w:pPr>
        <w:spacing w:after="120"/>
      </w:pPr>
      <w:r>
        <w:t xml:space="preserve">This is a frontend/IA/content rebuild, not a backend rebuild. It assumes the MSP Portal (v10 spec) backend engines already exist and are being independently hardened in a parallel workstream. Where this spec depends on backend behavior, it states the assumption explicitly (Section 8) rather than re-specifying it.</w:t>
      </w:r>
    </w:p>
    <w:p>
      <w:pPr>
        <w:pStyle w:val="Heading1"/>
        <w:spacing w:after="200" w:before="400"/>
      </w:pPr>
      <w:r>
        <w:t xml:space="preserve">2. Locked Architectural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website, two funnels: direct client and MSP partner. Single brand — Shane's personal authority is the trust layer for both funnels. The Portal itself is never a public-facing brand; it is white-labeled infrastructure behind the consulting brand.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Funnel model (Option C): Free Assessment → Monitoring Subscription (primary product) → Projects/Retainers as signal-triggered outcomes, not shelf items browsed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sells to both audiences: direct clients buy it as an ongoing oversight product; MSPs buy the white-labeled platform (tenant-capped subscription tiers) to resell to their own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is native to the website for everything that does not require prior telemetry. No mid-flow handoff to another app (/portal/ or /crm/) before payment completes.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 gate is the real product boundary — not price, not recurring-vs-one-time. Anything requiring existing signal data (a generated SOW, a scoped remediation) is Portal-only and cannot be self-checked-out on the website.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Credits are real, sellable products (confirmed pricing: $18/$80/$140 packs) — but never sold on the public website and never in the public-facing catalog. They're purchased by already-authenticated MSPs inside Portal settings/billing only. This is a visibility rule, not a "never sell"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model: M365 admin consent triggers signal collection independent of payment. Payment gates delivery of the resulting document/deliverable, not the underlying data collection. (Backend wiring for this tracked separately — see Section 8.)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public-facing claims must be true today, not aspirational. No unverified metrics, no compliance postures that haven't been formally adopted, no capabilities not yet built. Personal/founder credentials (already true) may carry trust-signal weight anywhere a badge or claim would otherwise be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is not FedRAMP authorized and does not interact with GCC/GCC-High tenants. This must never appear as a platform capability anywhere on the site. Shane's personal experience in federal/GCC-High/HIPAA/SBU environments may appear as a consulting bio credential only, clearly separated from platform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product or service data is ever hardcoded in website frontend code — names, descriptions, prices, tiers, seat/tenant allowances, and feature lists are always fetched live from the Product Catalog at render time. See Section 7.8 for the explicit rule and rationale.</w:t>
      </w:r>
    </w:p>
    <w:p>
      <w:pPr>
        <w:pStyle w:val="Heading1"/>
        <w:spacing w:after="200" w:before="400"/>
      </w:pPr>
      <w:r>
        <w:t xml:space="preserve">3. Brand &amp; Content Principles</w:t>
      </w:r>
    </w:p>
    <w:p>
      <w:pPr>
        <w:pStyle w:val="Heading2"/>
        <w:spacing w:after="150" w:before="300"/>
      </w:pPr>
      <w:r>
        <w:t xml:space="preserve">3.1 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Short, high-impact sentences. No hype adjectives (“world-class,” “revolutionary,” “cutting-edge”).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Credibility from specificity, not superlatives — named award, named agency, named outcome beats generic claims every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page's primary CTA ladders back to Assessment or Monitoring. No page is allowed to dead-end without a next step toward the funnel.</w:t>
      </w:r>
    </w:p>
    <w:p>
      <w:pPr>
        <w:pStyle w:val="Heading2"/>
        <w:spacing w:after="150" w:before="300"/>
      </w:pPr>
      <w:r>
        <w:t xml:space="preserve">3.2 Trust Strip — Locked Copy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Bio / credibility line (personal, consulting):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2026 Forum Award Winner — architected the first large federal agency Copilot deployment at NASA; the resulting framework was distributed government-wide by the White House as the federal standard for secure Copilot adoption. Deep experience across GCC/GCC-High, HIPAA, and SBU environments.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Platform trust strip (product, commercial-only — authority positioning, no unverifiable badges):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Built and operated by the architect who deploys it. Every check, every finding, every alert — designed by the same standard that secured a federal Copilot rollout.</w:t>
      </w:r>
    </w:p>
    <w:p>
      <w:pPr>
        <w:spacing w:after="120"/>
      </w:pPr>
      <w:r>
        <w:rPr>
          <w:i/>
          <w:iCs/>
          <w:color w:val="AA0000"/>
        </w:rPr>
        <w:t xml:space="preserve">Do not add compliance badges (SOC 2, HIPAA-as-platform-claim, etc.) or usage metrics (“X tenants monitored”) until formally documented and true. This is a standing rule for all future copy, not just launch content.</w:t>
      </w:r>
    </w:p>
    <w:p>
      <w:pPr>
        <w:pStyle w:val="Heading1"/>
        <w:spacing w:after="200" w:before="400"/>
      </w:pPr>
      <w:r>
        <w:t xml:space="preserve">4. Sitemap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3250"/>
      </w:tblGrid>
      <w:tr>
        <w:tc>
          <w:tcPr>
            <w:tcW w:type="dxa" w:w="24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Funnel</w:t>
            </w:r>
          </w:p>
        </w:tc>
        <w:tc>
          <w:tcPr>
            <w:tcW w:type="dxa" w:w="22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Commerce?</w:t>
            </w:r>
          </w:p>
        </w:tc>
        <w:tc>
          <w:tcPr>
            <w:tcW w:type="dxa" w:w="32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Fork — 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Hero fork by audience, not product. Primary CTA: Start Assessment.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/ 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Wizard entry point. Existing quiz engine, redesigned results CTA.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/monitoring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Tenant-size tiered. Primary product.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/retainers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Secondary placement — no homepage real estate.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/projects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— routes to Assessment/Monitoring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Persuasion only. Requires prior telemetry (SOW-gated).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/msp (or /partners)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Self-checkout — net new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Tier selection, tenant-capped pricing, native Stripe.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— native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Product-agnostic. Handles Assessment / Monitoring / Retainer / MSP tier.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/services/* (8 verticals)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— feeder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Content/SEO only. CTA routes to Assessment.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/resources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Blog / articles.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/contact, /book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calendar booking.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Cut entirely: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/checkout (legacy)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 (dead redirect)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/customer-command-center</w:t>
      </w:r>
    </w:p>
    <w:p>
      <w:pPr>
        <w:spacing w:after="80"/>
      </w:pPr>
      <w:r>
        <w:rPr>
          <w:b/>
          <w:bCs/>
        </w:rPr>
        <w:t xml:space="preserve">Kept, CTAs repointed: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/lp/:slug landing pages — still useful for paid traffic, just repoint CTAs to the new funnel.</w:t>
      </w:r>
    </w:p>
    <w:p>
      <w:pPr>
        <w:pStyle w:val="Heading1"/>
        <w:spacing w:after="200" w:before="400"/>
      </w:pPr>
      <w:r>
        <w:t xml:space="preserve">5. Page-by-Page Specifications</w:t>
      </w:r>
    </w:p>
    <w:p>
      <w:pPr>
        <w:pStyle w:val="Heading2"/>
        <w:spacing w:after="150" w:before="300"/>
      </w:pPr>
      <w:r>
        <w:t xml:space="preserve">5.1 Home</w:t>
      </w:r>
    </w:p>
    <w:p>
      <w:pPr>
        <w:spacing w:after="120"/>
      </w:pPr>
      <w:r>
        <w:t xml:space="preserve">Hero forks by audience, not product. Direct-client path is visually dominant; MSP path is present but subordinate. Assessment is the primary CTA — not Monitoring — because it is the lowest-friction ask for cold traffic.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Hero: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Eyebrow: NASA's M365 Architecture Standard, Applied to Your Tenant / Headline: Microsoft 365 governance built the way mission-critical systems are built. / Subhead: 30 years architecting Microsoft 365 at NASA scale — now protecting your tenant with the same rigor. / Primary CTA: Start Your Free Assessment. / Secondary link: Already know you need ongoing oversight? See Monitoring plans.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Audience fork (quiet, below hero):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Are you an MSP? Modernize your service line, white-labeled under your brand. Partner with the Platform.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Funnel narrative strip: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1. Assess — Free, no commitment. Real findings from your actual tenant, not a generic checklist. 2. Monitor — Findings don't expire. Continuous oversight keeps your posture current. 3. Act — Projects and retainers happen only when the data says they should — never a sales pitch first.</w:t>
      </w:r>
    </w:p>
    <w:p>
      <w:pPr>
        <w:spacing w:after="120"/>
      </w:pPr>
      <w:r>
        <w:t xml:space="preserve">Trust strip: per Section 3.2, exact copy locked.</w:t>
      </w:r>
    </w:p>
    <w:p>
      <w:pPr>
        <w:pStyle w:val="Heading2"/>
        <w:spacing w:after="150" w:before="300"/>
      </w:pPr>
      <w:r>
        <w:t xml:space="preserve">5.2 /assessment</w:t>
      </w:r>
    </w:p>
    <w:p>
      <w:pPr>
        <w:spacing w:after="120"/>
      </w:pPr>
      <w:r>
        <w:t xml:space="preserve">Existing wizard/quiz engine (8 quizzes, AI chat) is retained as-is mechanically. What changes is the results-page destination.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CTA changes from “book a call” / “another assessment” to: primary — “Keep this current — Start Monitoring”; secondary — “Discuss my results” (→ /contact).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page must state plainly that the assessment is a snapshot; Monitoring keeps it live. This is the single most important copy change on the site — it's the hinge the whole funnel model depends on.</w:t>
      </w:r>
    </w:p>
    <w:p>
      <w:pPr>
        <w:pStyle w:val="Heading2"/>
        <w:spacing w:after="150" w:before="300"/>
      </w:pPr>
      <w:r>
        <w:t xml:space="preserve">5.3 /monitoring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Header: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Eyebrow: Your Assessment Was a Snapshot. This Keeps It Current. / Headline: Continuous Microsoft 365 oversight, not a once-a-year checkup. / Subhead: The same signals your Assessment found — tracked, scored, and alerted on, every day.</w:t>
      </w:r>
    </w:p>
    <w:p>
      <w:pPr>
        <w:spacing w:after="40" w:before="100"/>
      </w:pPr>
      <w:r>
        <w:rPr>
          <w:b/>
          <w:bCs/>
          <w:i/>
          <w:iCs/>
          <w:color w:val="555555"/>
        </w:rPr>
        <w:t xml:space="preserve">How it works:</w:t>
      </w:r>
    </w:p>
    <w:p>
      <w:pPr>
        <w:pBdr>
          <w:left w:val="single" w:color="0078D4" w:sz="6" w:space="8"/>
        </w:pBdr>
        <w:spacing w:after="120"/>
        <w:ind w:left="360"/>
      </w:pPr>
      <w:r>
        <w:rPr>
          <w:i/>
          <w:iCs/>
        </w:rPr>
        <w:t xml:space="preserve">Connect once (consent, not credentials) → We watch continuously → You act only when something actually changes.</w:t>
      </w:r>
    </w:p>
    <w:p>
      <w:pPr>
        <w:spacing w:after="150"/>
      </w:pPr>
      <w:r>
        <w:rPr>
          <w:b/>
          <w:bCs/>
          <w:color w:val="008800"/>
        </w:rPr>
        <w:t xml:space="preserve">RESOLVED via Task #3048 (Services Catalog schema rebuild, supersedes #3024). Structure confirmed: three named Packs (Basic = Signal Monitoring/Mode A only; Enhanced = Basic + Live Monitor/Mode B; Premium = Enhanced + bundled Drift and SLA/Scope Creep reports) × four Tenant Tiers (Micro/SMB/Mid-Market/Enterprise) = 12 Monitoring Tier rows, each with pricePerUserMonth and a seat-count floor. Premium's flat +$140/mo addon — previously an open schema gap — is now handled by the Monitoring Tier type's new flatMonthlySurcharge field: price = (max(actualSeats, floor) × pricePerUserMonth) + flatMonthlySurcharge (zero for Basic/Enhanced, $140 for Premium). Basic, Enhanced, and Premium can all be built against this model now — no more open question on Premium's math.</w:t>
      </w:r>
    </w:p>
    <w:p>
      <w:pPr>
        <w:spacing w:after="120"/>
      </w:pPr>
      <w:r>
        <w:t xml:space="preserve">Page needs a seat-count input (or a value carried over from a completed Assessment) to determine which Tenant Tier bracket applies, then fetch that Pack + Tenant Tier's Product row and compute price live: (max(seats, seatCountFloor) × pricePerUserMonth) + flatMonthlySurcharge. Pack selection (Basic/Enhanced/Premium) presented as three cards with capability differences; seat count determines the price shown within whichever pack is selected. No hardcoded prices, rates, or floors in copy (per Section 7.8) — the rate card itself lives in the catalog, not in website code. CTA: Start Monitoring → native checkout, carrying selected Pack + seat count forward. NOTE: the services table is being dropped and recreated entirely under #3048 — this page (and every other catalog-driven page) will show empty-state until re-seeded post-rebuild; the existing “No tiers available yet / Get in Touch” fallback pattern (confirmed working) is the correct behavior during that window.</w:t>
      </w:r>
    </w:p>
    <w:p>
      <w:pPr>
        <w:pStyle w:val="Heading2"/>
        <w:spacing w:after="150" w:before="300"/>
      </w:pPr>
      <w:r>
        <w:t xml:space="preserve">5.4 /retainers</w:t>
      </w:r>
    </w:p>
    <w:p>
      <w:pPr>
        <w:spacing w:after="120"/>
      </w:pPr>
      <w:r>
        <w:t xml:space="preserve">Self-checkout, same native checkout mechanism as Monitoring. No homepage placement — reached via nav, quiz upsell (for repeat/warm visitors), or direct link. Positioned as fractional-hours engagement for orgs that already know they want ongoing hands-on support, distinct from Monitoring's automated oversight.</w:t>
      </w:r>
    </w:p>
    <w:p>
      <w:pPr>
        <w:spacing w:after="150"/>
      </w:pPr>
      <w:r>
        <w:rPr>
          <w:b/>
          <w:bCs/>
          <w:color w:val="AA0000"/>
        </w:rPr>
        <w:t xml:space="preserve">CONFIRMED against MSP_Full_Product_Catalog.xlsx: 5 tiers, not 3. The three existing Architect tiers (Essentials $2,500/mo, Growth $6,000/mo, Enterprise $11,000/mo) are flat-priced and unchanged. Two new tiers — vCISO/Governance Retainer ($4,500–9,500/mo) and Copilot Governance Retainer ($2,000–4,500/mo) — are PRICE RANGES, scoped by tenant complexity/hours rather than a fixed number. These need a “starting at $X/mo” display pattern and likely a “request scoping” step before Stripe checkout, rather than the Architect tiers' direct “click to subscribe at fixed price” flow. Confirm with catalog/backend whether range-priced retainers checkout the same way (Stripe subscription at a scoped price agreed via a short intake step) or route to a sales conversation instead — this determines whether these two are truly self-checkout or a lighter-touch lead flow.</w:t>
      </w:r>
    </w:p>
    <w:p>
      <w:pPr>
        <w:pStyle w:val="Heading2"/>
        <w:spacing w:after="150" w:before="300"/>
      </w:pPr>
      <w:r>
        <w:t xml:space="preserve">5.5 /projects</w:t>
      </w:r>
    </w:p>
    <w:p>
      <w:pPr>
        <w:spacing w:after="120"/>
      </w:pPr>
      <w:r>
        <w:t xml:space="preserve">Not a commerce page. Major Projects require a SOW generated from real tenant telemetry — the product literally does not exist to price or scope until that telemetry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function: education + credibility (case-study style content, no named real clients per copyright/testimonial rules) — explains what Major Projects are and why they start with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CTA throughout: “Start with an Assessment” or “Start Monitoring” — never “Request a Quote” or “Buy.”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Blueprints, Remediation Scripts, other micro offers, and AI Credits are never listed here or anywhere public — Portal-only, surfaced only once eligible.</w:t>
      </w:r>
    </w:p>
    <w:p>
      <w:pPr>
        <w:pStyle w:val="Heading2"/>
        <w:spacing w:after="150" w:before="300"/>
      </w:pPr>
      <w:r>
        <w:t xml:space="preserve">5.6 /msp (Partner with the Platform) — net new</w:t>
      </w:r>
    </w:p>
    <w:p>
      <w:pPr>
        <w:spacing w:after="120"/>
      </w:pPr>
      <w:r>
        <w:t xml:space="preserve">This is the one page with no current equivalent on the site or anywhere self-service today. It must be built as a real pricing/tier-selection page with native checkout — not a lead-capture form — per the locked decision that MSP self-signup is self-service, not sales-gated.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Pitch: white-labeled modernization platform, sold under Shane's authority.</w:t>
      </w:r>
    </w:p>
    <w:p>
      <w:pPr>
        <w:spacing w:after="150"/>
      </w:pPr>
      <w:r>
        <w:rPr>
          <w:b/>
          <w:bCs/>
          <w:color w:val="008800"/>
        </w:rPr>
        <w:t xml:space="preserve">CONFIRMED against MSP_Full_Product_Catalog.xlsx: real tier names and prices are Free ($0/mo, 3 tenants, 50 platform-value AI credits/mo), Growth ($249/mo, 25 tenants included + $8/tenant overage), Pro ($699/mo, 100 tenants included + $6/tenant overage) — differentiated by tenant allowance, AI credit allowance, and engine access (Free = Mode A daily only; Growth adds Mode B + Sales Offer Engine + Sales Bundle Builder; Pro adds custom SLA/Scope Creep rule editing). Task #3048 gives these a real schema home as the new Platform Subscription Tier type: tenantAllowance, aiCreditAllowancePlatformValue, aiCreditAllowanceMspValue, aiCreditOverageRateCents, overageRateCents, and tierCapabilities (drives feature gating via msp-entitlement.ts). Use real names/prices in copy; fetch tier differentiators from these fields once re-seeded rather than hardcoding the feature lists.</w:t>
      </w:r>
    </w:p>
    <w:p>
      <w:pPr>
        <w:spacing w:after="150"/>
      </w:pPr>
      <w:r>
        <w:rPr>
          <w:b/>
          <w:bCs/>
          <w:color w:val="AA0000"/>
        </w:rPr>
        <w:t xml:space="preserve">NEWLY DISCOVERED: a second decision point belongs on this page. MSP Onboarding is a separate, required purchase after tier selection — Self-Service Onboarding ($99, one-time, automated wizard) or White-Glove Onboarding ($1,800–3,500, one-time, fixed-fee, includes a real setup session). This wasn't in the original page plan; needs its own step in the flow (tier selection → onboarding-tier selection → checkout) rather than being bundled silently into the platform tier price. Confirm with catalog/backend whether this is presented as a single combined checkout or two sequential purchases.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CTA: tier selection → onboarding-package selection → native Stripe checkout on this page — no redirect off the website before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include the platform MSA/DPA clickwrap acceptance as part of this page's flow (see Section 8 — backend gate must exist before this page's checkout can be considered complete).</w:t>
      </w:r>
    </w:p>
    <w:p>
      <w:pPr>
        <w:pStyle w:val="Heading2"/>
        <w:spacing w:after="150" w:before="300"/>
      </w:pPr>
      <w:r>
        <w:t xml:space="preserve">5.7 /checkout</w:t>
      </w:r>
    </w:p>
    <w:p>
      <w:pPr>
        <w:spacing w:after="120"/>
      </w:pPr>
      <w:r>
        <w:t xml:space="preserve">Single, product-agnostic native checkout used by Assessment (paid tier), Monitoring, Retainers, and MSP signup. Guest capture (name/email) for unauthenticated visitors, consent step, payment, account provisioning — all without leaving the website mid-flow.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Sequencing: browse/select → guest info → M365 admin consent (required to proceed) → payment → provisioning. Consent alone triggers signal collection; payment gates delivery of the resulting document/deliverable (see Section 2, data model decision).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Customer-facing clickwrap acceptance (terms/agreement) must occur somewhere in this flow — currently absent from the self-service path entirely (Section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handoff: account created, session issued, single clean redirect into Portal. Website's responsibility ends here.</w:t>
      </w:r>
    </w:p>
    <w:p>
      <w:pPr>
        <w:pStyle w:val="Heading2"/>
        <w:spacing w:after="150" w:before="300"/>
      </w:pPr>
      <w:r>
        <w:t xml:space="preserve">5.8 /services/* (8 verticals)</w:t>
      </w:r>
    </w:p>
    <w:p>
      <w:pPr>
        <w:spacing w:after="120"/>
      </w:pPr>
      <w:r>
        <w:t xml:space="preserve">Microsoft 365, Copilot &amp; AI, SharePoint, Power Platform, Governance, Cloud Migration, Security Hardening, M365 Training. Reclassified from commerce pages to content/SEO pages. Each page's job is credibility + routing, not selling — single CTA to /assessment throughout.</w:t>
      </w:r>
    </w:p>
    <w:p>
      <w:pPr>
        <w:pStyle w:val="Heading2"/>
        <w:spacing w:after="150" w:before="300"/>
      </w:pPr>
      <w:r>
        <w:t xml:space="preserve">5.9 /resources, /contact, /book</w:t>
      </w:r>
    </w:p>
    <w:p>
      <w:pPr>
        <w:spacing w:after="120"/>
      </w:pPr>
      <w:r>
        <w:t xml:space="preserve">Largely unchanged in function. /resources remains the article/blog system. /contact and /book remain the live-calendar booking flow. Retained as low-risk, low-priority rebuild items.</w:t>
      </w:r>
    </w:p>
    <w:p>
      <w:pPr>
        <w:pStyle w:val="Heading1"/>
        <w:spacing w:after="200" w:before="400"/>
      </w:pPr>
      <w:r>
        <w:t xml:space="preserve">6. CTA → Endpoint Mapping</w:t>
      </w:r>
    </w:p>
    <w:p>
      <w:pPr>
        <w:spacing w:after="120"/>
      </w:pPr>
      <w:r>
        <w:t xml:space="preserve">Reflects confirmed current backend state as of this spec's date. Endpoints marked “net new” do not exist yet and are frontend work only — they call existing backend machinery confirmed already built.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50"/>
      </w:tblGrid>
      <w:tr>
        <w:tc>
          <w:tcPr>
            <w:tcW w:type="dxa" w:w="30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33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Free Assessment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 wizard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Existing — unchanged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Monitoring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 (product: monitoring tier)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Native checkout exists on website; success_url currently redirects off-site — needs repoint (Section 8)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Retainer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 (product: retainer)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mechanism as above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Partner with the Platform (MSP)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/msp tier selection → native checkout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new frontend — calls existing /api/msp/signup/tiers, /api/msp/signup/start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Quiz results — primary CTA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/monitoring (was: /contact)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Copy/routing change only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Major Project page CTA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/assessment or /monitoring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checkout — routing only, by design</w:t>
            </w:r>
          </w:p>
        </w:tc>
      </w:tr>
    </w:tbl>
    <w:p>
      <w:pPr>
        <w:pStyle w:val="Heading2"/>
        <w:spacing w:after="150" w:before="300"/>
      </w:pPr>
      <w:r>
        <w:t xml:space="preserve">6.1 Fulfillment Type Mapping</w:t>
      </w:r>
    </w:p>
    <w:p>
      <w:pPr>
        <w:spacing w:after="120"/>
      </w:pPr>
      <w:r>
        <w:t xml:space="preserve">Every self-checkout product must declare its fulfillmentTypeKey and recurring flag (per Task #2706, Fulfillment Engine) so the website's /checkout page selects the correct Stripe mode. This is the only fulfillment-related detail the website owns.</w:t>
      </w:r>
    </w:p>
    <w:p>
      <w:pPr>
        <w:spacing w:after="150"/>
      </w:pPr>
      <w:r>
        <w:rPr>
          <w:b/>
          <w:bCs/>
          <w:color w:val="555555"/>
        </w:rPr>
        <w:t xml:space="preserve">Assessment and Monitoring keys were VERIFIED against the pre-rebuild database and should still apply after Task #3048's schema drop/recreate, since fulfillmentTypeKey is not listed among the retired columns — CONFIRM this survives the rebuild rather than assuming. Retainer and MSP Platform Tier rows were UNRESOLVED before #3048; the new 7-type schema (Retainer and Platform Subscription Tier are both first-class types) should resolve this as part of the rebuild — confirm both types get a proper fulfillmentTypeKey set once re-seeded. Monitoring's pricing model is RESOLVED (Section 5.3): computed as (seats × pricePerUserMonth) + flatMonthlySurcharge, the new field that correctly handles Premium's addon.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1400"/>
        <w:gridCol w:w="2050"/>
      </w:tblGrid>
      <w:tr>
        <w:tc>
          <w:tcPr>
            <w:tcW w:type="dxa" w:w="27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Self-checkout product</w:t>
            </w:r>
          </w:p>
        </w:tc>
        <w:tc>
          <w:tcPr>
            <w:tcW w:type="dxa" w:w="32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fulfillmentTypeKey</w:t>
            </w:r>
          </w:p>
        </w:tc>
        <w:tc>
          <w:tcPr>
            <w:tcW w:type="dxa" w:w="140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Recurring</w:t>
            </w:r>
          </w:p>
        </w:tc>
        <w:tc>
          <w:tcPr>
            <w:tcW w:type="dxa" w:w="2050"/>
            <w:shd w:fill="0078D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Stripe mode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Assessment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 (VERIFIED)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 Stripe (price = 0)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Paid Assessment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 (VERIFIED)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One-time payment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 Subscription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 (VERIFIED key; pricing model RESOLVED via #3048's flatMonthlySurcharge)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Retainer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 #3048 re-seed — confirm once shipped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(assumed)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MSP Platform Tier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 #3048 re-seed (Platform Subscription Tier type) — confirm once shipped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(assumed)</w:t>
            </w:r>
          </w:p>
        </w:tc>
        <w:tc>
          <w:tcPr>
            <w:tcW w:type="dxa" w:w="20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A0000" w:sz="6" w:space="8"/>
        </w:pBdr>
        <w:spacing w:after="200"/>
        <w:ind w:left="360"/>
      </w:pPr>
      <w:r>
        <w:rPr>
          <w:b/>
          <w:bCs/>
          <w:i/>
          <w:iCs/>
        </w:rPr>
        <w:t xml:space="preserve">Boundary statement: the website's role ends at initiating the correct checkout mode for the product's fulfillment type. resolve_fulfillment and all downstream engine/signal execution happen entirely server-side via the existing shared mechanism (Task #2706). The website never calls, displays, or depends on engine or signal output directly — that would be scope creep against the locked “website ends at acquisition” principle.</w:t>
      </w:r>
    </w:p>
    <w:p>
      <w:pPr>
        <w:pStyle w:val="Heading1"/>
        <w:spacing w:after="200" w:before="400"/>
      </w:pPr>
      <w:r>
        <w:t xml:space="preserve">7. Additional Requirements</w:t>
      </w:r>
    </w:p>
    <w:p>
      <w:pPr>
        <w:pStyle w:val="Heading2"/>
        <w:spacing w:after="150" w:before="300"/>
      </w:pPr>
      <w:r>
        <w:t xml:space="preserve">7.1 Legal Pages</w:t>
      </w:r>
    </w:p>
    <w:p>
      <w:pPr>
        <w:spacing w:after="120"/>
      </w:pPr>
      <w:r>
        <w:t xml:space="preserve">The website is a live commerce surface and needs its own Terms of Service and Privacy Policy — separate from Portal's Trust page (#2699), which covers the platform, not the marketing site's own data collection (forms, analytics, cookies). Standard static pages, no clickwrap interaction required here (passive disclosure, consistent with Portal's Trust page pattern).</w:t>
      </w:r>
    </w:p>
    <w:p>
      <w:pPr>
        <w:pStyle w:val="Heading2"/>
        <w:spacing w:after="150" w:before="300"/>
      </w:pPr>
      <w:r>
        <w:t xml:space="preserve">7.2 Error States</w:t>
      </w:r>
    </w:p>
    <w:p>
      <w:pPr>
        <w:spacing w:after="120"/>
      </w:pPr>
      <w:r>
        <w:t xml:space="preserve">Checkout is the core function of this rebuild — failure paths must be defined, not discovered in QA: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declined at the Microsoft screen — clear message, option to retry, does not lose guest info already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fails or is abandoned — return to checkout with prior selections intact; per the locked data model, consent already granted is not lost or re-requested.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Session/guest-capture expires mid-flow — clear restart, no silent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 slug/product not found (e.g. stale link) — friendly 404 routing back to the relevant section (Assessment/Monitoring/MSP), never a raw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tier fetch fails (API error on /msp page) — graceful fallback messaging, not a blank page.</w:t>
      </w:r>
    </w:p>
    <w:p>
      <w:pPr>
        <w:pStyle w:val="Heading2"/>
        <w:spacing w:after="150" w:before="300"/>
      </w:pPr>
      <w:r>
        <w:t xml:space="preserve">7.3 MSP Portal Integration Contract</w:t>
      </w:r>
    </w:p>
    <w:p>
      <w:pPr>
        <w:spacing w:after="120"/>
      </w:pPr>
      <w:r>
        <w:t xml:space="preserve">For the net-new /msp checkout (Section 5.6): exact success payload shape, redirect URL format, and mspSlug resolution must be confirmed against the live /api/msp/signup/start and webhook-driven provisioning flow before building — not assumed. This is a confirm-before-build item, not a re-spec of already-built backend behavior.</w:t>
      </w:r>
    </w:p>
    <w:p>
      <w:pPr>
        <w:pStyle w:val="Heading2"/>
        <w:spacing w:after="150" w:before="300"/>
      </w:pPr>
      <w:r>
        <w:t xml:space="preserve">7.4 Assessment → Monitoring Conversion Logic</w:t>
      </w:r>
    </w:p>
    <w:p>
      <w:pPr>
        <w:spacing w:after="120"/>
      </w:pPr>
      <w:r>
        <w:t xml:space="preserve">UPDATED: with tenant-size tiers confirmed via Task #3048 (Section 5.3, Section 8), this logic is buildable once that task lands: map the assessment's detected seat count to the Product row whose seatMin–seatMax range contains it, and route the results-page CTA to that specific Monitoring tier rather than a generic /monitoring link. Until Task #3048 ships, route generically to /monitoring.</w:t>
      </w:r>
    </w:p>
    <w:p>
      <w:pPr>
        <w:pStyle w:val="Heading2"/>
        <w:spacing w:after="150" w:before="300"/>
      </w:pPr>
      <w:r>
        <w:t xml:space="preserve">7.5 Analytics &amp; Attribution</w:t>
      </w:r>
    </w:p>
    <w:p>
      <w:pPr>
        <w:spacing w:after="120"/>
      </w:pPr>
      <w:r>
        <w:t xml:space="preserve">Scope to funnel-event tracking, not a full attribution platform: assessment started/completed, checkout started/completed (by product), MSP signup started/completed. Sufficient to measure the funnel this spec is built around; deeper attribution is a V2 item if warranted by volume.</w:t>
      </w:r>
    </w:p>
    <w:p>
      <w:pPr>
        <w:pStyle w:val="Heading2"/>
        <w:spacing w:after="150" w:before="300"/>
      </w:pPr>
      <w:r>
        <w:t xml:space="preserve">7.6 SEO Architecture</w:t>
      </w:r>
    </w:p>
    <w:p>
      <w:pPr>
        <w:spacing w:after="120"/>
      </w:pPr>
      <w:r>
        <w:t xml:space="preserve">The 8 service-vertical pages (Section 5.8) exist specifically for SEO — standard meta/OG conventions per page, sitemap.xml, and structured data (Organization + Service schema) are expected. No further SEO tooling required for v1.</w:t>
      </w:r>
    </w:p>
    <w:p>
      <w:pPr>
        <w:pStyle w:val="Heading2"/>
        <w:spacing w:after="150" w:before="300"/>
      </w:pPr>
      <w:r>
        <w:t xml:space="preserve">7.7 Brand System Reference</w:t>
      </w:r>
    </w:p>
    <w:p>
      <w:pPr>
        <w:spacing w:after="120"/>
      </w:pPr>
      <w:r>
        <w:t xml:space="preserve">A minimal shared style reference (color tokens, type scale, spacing, button/card patterns already established on the current site) should be extracted and reused across all rebuilt pages so Replit doesn't reinvent UI per page. Not a full design system — a reference sheet.</w:t>
      </w:r>
    </w:p>
    <w:p>
      <w:pPr>
        <w:pStyle w:val="Heading2"/>
        <w:spacing w:after="150" w:before="300"/>
      </w:pPr>
      <w:r>
        <w:t xml:space="preserve">7.8 No Hardcoded Catalog Data</w:t>
      </w:r>
    </w:p>
    <w:p>
      <w:pPr>
        <w:spacing w:after="120"/>
      </w:pPr>
      <w:r>
        <w:t xml:space="preserve">Every page that displays service or product information — Monitoring tiers, Retainer options, MSP platform tiers, Assessment listings, and any /services/* content referencing specific offerings, pricing, or features — must fetch that data live from the Product Catalog (GET /api/services or equivalent) at render time. No static array, JSON file, or literal string embedded in a component may substitute for a live catalog query.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Covers: product/tier names, descriptions, prices, seat/tenant allowances, feature and deliverable lists, fulfillmentTypeKey, and visibility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not cover: editorial/narrative copy that isn't catalog data — hero headlines, the funnel narrative strip, trust-strip statements, and similar fixed content remain static, authored content. This rule targets product data specifically, not all website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Rationale: this is the same failure mode as the seed-script overwrite bug (Section 8) relocated to the frontend — hardcoded product data becomes a second source of truth that silently drifts from the real catalog the moment an admin edits a price or tier in Admin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check: no literal price strings, tier names, or feature-list arrays should exist in component source files outside of data actually returned by a catalog API response. This is verifiable by code review — grep for currency symbols, tier names, or seat-count numbers in .tsx files outside of API response handling.</w:t>
      </w:r>
    </w:p>
    <w:p>
      <w:pPr>
        <w:pStyle w:val="Heading1"/>
        <w:spacing w:after="200" w:before="400"/>
      </w:pPr>
      <w:r>
        <w:t xml:space="preserve">8. Dependencies — Tracked in Parallel Workstream</w:t>
      </w:r>
    </w:p>
    <w:p>
      <w:pPr>
        <w:spacing w:after="120"/>
      </w:pPr>
      <w:r>
        <w:t xml:space="preserve">Status as of this spec's latest revision. Items marked CLOSED are verified with file:line evidence from the parallel v10-fix workstream and can be built against directly.</w:t>
      </w:r>
    </w:p>
    <w:p>
      <w:pPr>
        <w:spacing w:after="80"/>
      </w:pPr>
      <w:r>
        <w:rPr>
          <w:b/>
          <w:bCs/>
        </w:rPr>
        <w:t xml:space="preserve">Closed — build against directly: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signup clickwrap/legal gate — CLOSED, verified on both MSP signup and customer checkout paths.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script overwrite bug — CLOSED. Admin-edited catalog data now survives server restarts.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Catalog visibility flags (isPublic / visibility) — mechanism CLOSED. Data-level correctness (which records are actually flagged private) lands with the product seed JSON, tracked separately — confirm before launch, not a build blocker.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checkout API (POST /api/portal/checkout/create-session) — real, working, creates genuine Stripe sessions. Not in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Underlying MSP signup API (/api/msp/signup/tiers, /api/msp/signup/start) — real, working, already used successfully by /portal/signup today.</w:t>
      </w:r>
    </w:p>
    <w:p>
      <w:pPr>
        <w:spacing w:after="80"/>
      </w:pPr>
      <w:r>
        <w:rPr>
          <w:b/>
          <w:bCs/>
        </w:rPr>
        <w:t xml:space="preserve">Still open: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checkout staying on-site: CONFIRMED UNCHANGED. success_url in POST /api/portal/checkout/create-session is still hardcoded to /portal/onboarding/success, still resolving to legacy CRM code (OnboardingSuccess.tsx). Per this spec's Section 5.7 design, the fix is a Portal-side task, not a marketing-site frontend task. Useful precedent found: POST /api/portal/offers/:id/checkout already redirects correctly to a Portal-native destination (/customer-home) — the fix for create-session should follow that same existing pattern, not invent a new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self-signup page: CONFIRMED UNCHANGED. Exhaustive grep of the marketing site codebase found zero links to MSP signup anywhere. Still fully net-new frontend work per Section 5.6, calling the existing, working /api/msp/signup/*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Retainer and MSP Platform Tier fulfillmentTypeKey values: NEWLY IDENTIFIED GAP. No fulfillment_type_key value for either product type exists in the live database — only assessment, document_product, and monitoring are in use today. This means these two products likely don't yet exist as proper catalog records, or exist without a fulfillment type assigned. Must be resolved in Admin Panel/catalog before /checkout can support Retainer or MSP Platform Tier purchases (see Section 6.1).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authoring against fulfillment events: fulfillment.&lt;key&gt; events (e.g. fulfillment.monitoring) fire correctly on purchase and will trigger any subscribed workflow, but are not listed in the Workflow Start Node's KNOWN_EVENTS dropdown — a workflow author must currently type the event name manually via a custom-text fallback, with no payload field hints. Does not block the website (event firing already works); relevant only if you plan to build Admin Panel workflows reacting to these purchases soon. Admin Panel UX item, not a website spec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CATALOG FULL SCHEMA REBUILD: TRACKED as Task #3048 (“Services Catalog: Schema Drop/Recreate + Config-Driven Editor”) — SUPERSEDES #3024 entirely. This is a full drop-and-recreate of the services table (root cause of the Credit Pack field bleed and every catalog-structure gap tracked in this spec), not an incremental add. New design: clean core columns + a single typeAttributes jsonb column, 7 product types (Credit Pack, Assessment, Project, Retainer, Monitoring Tier, Recurring Add-on, Document Product, Platform Subscription Tier). RESOLVES the Monitoring Premium-addon gap: Monitoring Tier gains a flatMonthlySurcharge field, so Premium = (seats × rate) + flatMonthlySurcharge cleanly (Section 5.3). RESOLVES MSP tier structure: Platform Subscription Tier is now a real type with tenantAllowance, both AI credit allowance fields, overage rates, and tierCapabilities (Section 5.6). Target seed counts confirmed: 12 Monitoring Tier rows, 3 Platform Subscription Tier rows. IMPORTANT SCOPE NOTE: every catalog-driven page on the website (Assessments, Retainers, Monitoring, MSP) loses its data simultaneously when this migration runs, not just Monitoring — the whole site will show its empty-state (“No tiers available yet,” confirmed working) until re-seeded post-rebuild. Confirm fulfillmentTypeKey survives the rebuild as a core column and gets set correctly on Retainer and Platform Subscription Tier rows once re-seeded (Section 6.1) — not explicitly guaranteed by the task spec, worth verifying directly rather than assuming.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BUGS EXPLICITLY NOT FIXED BY #3048, FILED SEPARATELY: (1) dead serviceType literal comparisons in Pricing.tsx/Services.tsx, (2) a tierCapabilities type mismatch in Msp.tsx. Neither is resolved by the schema rebuild shipping — track and file both separately or they'll be silently assumed fixed once #3048 lands.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Retainer price-range checkout mechanism: NEW, from MSP_Full_Product_Catalog.xlsx. Two new Retainer tiers (vCISO/Governance, Copilot Governance) are priced as ranges, not flat amounts — unlike the three existing flat-priced Architect tiers. Confirm whether range-priced retainers checkout via a short scoping/intake step before Stripe (still self-checkout, just not instant), or route to a sales conversation instead (see Section 5.4). This determines whether /retainers needs two different checkout patterns side by 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Onboarding Package: NEW, from MSP_Full_Product_Catalog.xlsx, not in the original spec draft. A required second purchase after MSP platform-tier selection — Self-Service ($99) or White-Glove ($1,800–3,500). Confirm with catalog/backend whether this is a combined single checkout with the platform tier or two sequential purchases (see Section 5.6) before building the /msp page's checkout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Credit Pack records incorrectly public: DATA ERROR, being corrected directly in Admin Panel (not a website spec item). The three ai-credit-pack-* records were found isPublic: true / visibility: public in a live catalog export — they are real, sellable products per MSP_Full_Product_Catalog.xlsx, but should only ever be reachable from an authenticated MSP's Portal settings, never the public catalog (Section 2). Confirm these are set to isPublic: false before launch; the website itself never needs to reference them by design, so no page content changes here.</w:t>
      </w:r>
    </w:p>
    <w:p>
      <w:pPr>
        <w:spacing w:after="80"/>
      </w:pPr>
      <w:r>
        <w:rPr>
          <w:b/>
          <w:bCs/>
        </w:rPr>
        <w:t xml:space="preserve">Parallel, not blocking: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M365 consent/App Registration flow (/api/consent/callback): CONFIRMED UNCHANGED. Solid code covering the OAuth round-trip, DB insert, credential validation, and revocation path — but no dedicated test file exists and it has never been exercised against a live Azure AD tenant (requires an external service principal, outside the automated test harness). This only affects the post-payment onboarding step, not checkout itself, and should not hold up starting the site rebuild. Verify against a real tenant once test credentials are available, in parallel with the frontend build.</w:t>
      </w:r>
    </w:p>
    <w:p>
      <w:pPr>
        <w:pStyle w:val="Heading2"/>
        <w:spacing w:after="150" w:before="300"/>
      </w:pPr>
      <w:r>
        <w:t xml:space="preserve">8.5 Confirmed Outstanding — Current Build Punch List</w:t>
      </w:r>
    </w:p>
    <w:p>
      <w:pPr>
        <w:spacing w:after="120"/>
      </w:pPr>
      <w:r>
        <w:t xml:space="preserve">As of the latest audit against MSP_Website_Rebuild_Spec_v1_(3).docx. Routing and checkout mechanics are done well; this is what remains.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Locked copy not yet applied: Home hero (eyebrow/headline/subhead) and trust strip (Section 3.2/5.1); Monitoring hero (Section 5.3). Safe to do now, zero data dependency.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link purge incomplete: Header.tsx (“Client Login”, lines 382 &amp; 496) and 6 components (GenericQuizModal.tsx, OfferCard.tsx, RetainerSelectorQuiz.tsx, CTAButton.tsx, FixedPriceOfferCard.tsx, RetainerCard.tsx) still route to /crm/. Safe to do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7.8 violations confirmed, some materially wrong not just hardcoded: retainer detail pages' cross-sell fallback prices are incorrect (e.g. ArchitectGrowth.tsx shows Enterprise cross-sell at $5,500/mo; real price is $11,000/mo). Also present in RetainerSelectorQuiz.tsx, all 7 quiz files' price badges, and Pricing.tsx's fallback ranges. Fix by replacing with the existing, confirmed-working “No tiers available yet / Get in Touch” empty-state pattern — do not leave a blank render, and do not fix until #3048's schema is stable (no point rewriting fallback logic against a data shape that's about to change).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CustomerCommandCenter.tsx is an orphaned file — not in this spec's sitemap, unrouted, contains mock financial data. Delete outright.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bugs filed separately from #3048 (see above) still need their own fix: dead serviceType comparisons in Pricing.tsx/Services.tsx, and a tierCapabilities type mismatch in Msp.tsx.</w:t>
      </w:r>
    </w:p>
    <w:p>
      <w:pPr>
        <w:pStyle w:val="Heading1"/>
        <w:spacing w:after="200" w:before="400"/>
      </w:pPr>
      <w:r>
        <w:t xml:space="preserve">9. Open Items for V2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Pricing/catalog content itself (actual tier prices, seat-count floors) — configuration, not build-blocking; pulled live from catalog by this spec's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HIPAA/SOC 2 platform compliance posture — explicitly not claimed anywhere until formally documented (Task #2714).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MSP-to-platform billing shape refinement — CONFIRMED per MSP_Full_Product_Catalog.xlsx: wholesale-only, platform charges the MSP a wholesale cost, MSP sets their own retail price (White-Label MSP Channel Products). Does not block website copy — these products are Portal-only, never on the public website.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Products (Reports/Plans/Execution Guides/Guide+Script, $49–$1,499) and Automated Micro-Remediation Marketplace ($29–$149 per fix) — confirmed real, priced, telemetry-gated products per MSP_Full_Product_Catalog.xlsx. Consistent with the locked decision: Portal-only, never sold on the public website (Section 5.5). Noted here for completeness, no website spec impact.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MSP Onboarding Package sequencing and Retainer price-range checkout — see Section 8, both newly discovered and need resolution before their respective checkout flows are finalized.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2026-07-12T05:53:31.197Z</dcterms:created>
  <dcterms:modified xsi:type="dcterms:W3CDTF">2026-07-12T05:53:31.211Z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