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0A2540"/>
          <w:sz w:val="32"/>
          <w:szCs w:val="32"/>
        </w:rPr>
        <w:t xml:space="preserve">Content &amp; Offers → Services: Catalog Rebuild (Schema Drop/Recreate + Data-Driven Editor)</w:t>
      </w:r>
    </w:p>
    <w:p>
      <w:pPr>
        <w:spacing w:after="120"/>
      </w:pPr>
      <w:r>
        <w:rPr>
          <w:sz w:val="22"/>
          <w:szCs w:val="22"/>
        </w:rPr>
        <w:t xml:space="preserve">Supersedes services-page-rebuild-spec.docx (#3024). #3024's type-aware New/Edit/Download/Import work is confirmed built and correct — this document replaces the underlying schema it was built on top of, and replaces the hand-coded editor with a config-driven one. Draft for review before anything touches the database.</w:t>
      </w:r>
    </w:p>
    <w:p>
      <w:pPr>
        <w:pStyle w:val="Heading2"/>
        <w:spacing w:after="120" w:before="280"/>
      </w:pPr>
      <w:r>
        <w:rPr>
          <w:b/>
          <w:bCs/>
          <w:color w:val="0A2540"/>
          <w:sz w:val="24"/>
          <w:szCs w:val="24"/>
        </w:rPr>
        <w:t xml:space="preserve">What &amp; Why</w:t>
      </w:r>
    </w:p>
    <w:p>
      <w:pPr>
        <w:spacing w:after="120"/>
      </w:pPr>
      <w:r>
        <w:rPr>
          <w:sz w:val="22"/>
          <w:szCs w:val="22"/>
        </w:rPr>
        <w:t xml:space="preserve">The live services table (52 columns, audited directly against lib/db/src/schema/index.ts and a full grep pass) has accumulated three eras of business model on top of one flat table: a consulting-service list, an Azure Automation Runbook / per-customer App Registration era (now architecturally retired per #2688), and the current SaaS/type era. #3024 correctly added Monitoring Tier's fields without touching the old ones — by design, per its own Out of Scope — which means the old fields are still there. Separately, MSP_Full_Product_Catalog.xlsx confirmed the real commercial catalog needs 7 distinct product types, not the 5 #3024 shipped with. Doing a clean drop/recreate now, before any production data exists, is cheaper than migrating a live table later. All contracts/client_services/invoices rows are confirmed seed/placeholder data — safe to drop with no migration path needed.</w:t>
      </w:r>
    </w:p>
    <w:p>
      <w:pPr>
        <w:spacing w:after="120"/>
      </w:pPr>
      <w:r>
        <w:rPr>
          <w:sz w:val="22"/>
          <w:szCs w:val="22"/>
        </w:rPr>
        <w:t xml:space="preserve">Second half of this task: the editor itself (ServiceEditor.tsx, 1,512 lines) is hand-coded with type-conditionals threaded through a single static form. That pattern is why the Credit Pack bug happened in the first place (confirmed fixed as of this revision, but the architecture that allowed it to happen is still there). The replacement is config-driven: each product type is a plain, visible template object (ordered sections, field list, field kind), and the editor renders whatever that template says. Adding or changing a type means editing the template, not the component.</w:t>
      </w:r>
    </w:p>
    <w:p>
      <w:pPr>
        <w:pStyle w:val="Heading2"/>
        <w:spacing w:after="120" w:before="280"/>
      </w:pPr>
      <w:r>
        <w:rPr>
          <w:b/>
          <w:bCs/>
          <w:color w:val="0A2540"/>
          <w:sz w:val="24"/>
          <w:szCs w:val="24"/>
        </w:rPr>
        <w:t xml:space="preserve">Part 1 — Replacement Schema</w:t>
      </w:r>
    </w:p>
    <w:p>
      <w:pPr>
        <w:pStyle w:val="Heading3"/>
        <w:spacing w:after="100" w:before="200"/>
      </w:pPr>
      <w:r>
        <w:rPr>
          <w:b/>
          <w:bCs/>
          <w:color w:val="0A2540"/>
          <w:sz w:val="21"/>
          <w:szCs w:val="21"/>
        </w:rPr>
        <w:t xml:space="preserve">Core columns (kept as real columns — universal or SQL-filtered across multiple files)</w:t>
      </w:r>
    </w:p>
    <w:p>
      <w:pPr>
        <w:spacing w:after="120"/>
      </w:pPr>
      <w:r>
        <w:rPr>
          <w:sz w:val="22"/>
          <w:szCs w:val="22"/>
        </w:rPr>
        <w:t xml:space="preserve">Confirmed via direct grep evidence, not assumption. A column stays a real column if it's filtered/joined at the SQL level in more than one server file, or genuinely universal across all 7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A2540" w:val="clear"/>
            <w:tcMar>
              <w:top w:type="dxa" w:w="60"/>
              <w:left w:type="dxa" w:w="100"/>
              <w:bottom w:type="dxa" w:w="60"/>
              <w:right w:type="dxa" w:w="100"/>
            </w:tcMar>
          </w:tcPr>
          <w:p>
            <w:r>
              <w:rPr>
                <w:b/>
                <w:bCs/>
                <w:color w:val="FFFFFF"/>
                <w:sz w:val="18"/>
                <w:szCs w:val="18"/>
              </w:rPr>
              <w:t xml:space="preserve">Column</w:t>
            </w:r>
          </w:p>
        </w:tc>
        <w:tc>
          <w:tcPr>
            <w:tcW w:type="pct" w:w="70%"/>
            <w:shd w:fill="0A2540" w:val="clear"/>
            <w:tcMar>
              <w:top w:type="dxa" w:w="60"/>
              <w:left w:type="dxa" w:w="100"/>
              <w:bottom w:type="dxa" w:w="60"/>
              <w:right w:type="dxa" w:w="100"/>
            </w:tcMar>
          </w:tcPr>
          <w:p>
            <w:r>
              <w:rPr>
                <w:b/>
                <w:bCs/>
                <w:color w:val="FFFFFF"/>
                <w:sz w:val="18"/>
                <w:szCs w:val="18"/>
              </w:rPr>
              <w:t xml:space="preserve">Why it stays a real column</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id, slug, name, description, tagline</w:t>
            </w:r>
          </w:p>
        </w:tc>
        <w:tc>
          <w:tcPr>
            <w:tcW w:type="pct" w:w="70%"/>
            <w:tcMar>
              <w:top w:type="dxa" w:w="60"/>
              <w:left w:type="dxa" w:w="100"/>
              <w:bottom w:type="dxa" w:w="60"/>
              <w:right w:type="dxa" w:w="100"/>
            </w:tcMar>
          </w:tcPr>
          <w:p>
            <w:r>
              <w:rPr>
                <w:b w:val="false"/>
                <w:bCs w:val="false"/>
                <w:color w:val="000000"/>
                <w:sz w:val="18"/>
                <w:szCs w:val="18"/>
              </w:rPr>
              <w:t xml:space="preserve">Universal, every type</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categoryPath, tags</w:t>
            </w:r>
          </w:p>
        </w:tc>
        <w:tc>
          <w:tcPr>
            <w:tcW w:type="pct" w:w="70%"/>
            <w:tcMar>
              <w:top w:type="dxa" w:w="60"/>
              <w:left w:type="dxa" w:w="100"/>
              <w:bottom w:type="dxa" w:w="60"/>
              <w:right w:type="dxa" w:w="100"/>
            </w:tcMar>
          </w:tcPr>
          <w:p>
            <w:r>
              <w:rPr>
                <w:b w:val="false"/>
                <w:bCs w:val="false"/>
                <w:color w:val="000000"/>
                <w:sz w:val="18"/>
                <w:szCs w:val="18"/>
              </w:rPr>
              <w:t xml:space="preserve">Drives the category tree; filtered/searched at SQL level</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serviceClass, deliveryType</w:t>
            </w:r>
          </w:p>
        </w:tc>
        <w:tc>
          <w:tcPr>
            <w:tcW w:type="pct" w:w="70%"/>
            <w:tcMar>
              <w:top w:type="dxa" w:w="60"/>
              <w:left w:type="dxa" w:w="100"/>
              <w:bottom w:type="dxa" w:w="60"/>
              <w:right w:type="dxa" w:w="100"/>
            </w:tcMar>
          </w:tcPr>
          <w:p>
            <w:r>
              <w:rPr>
                <w:b w:val="false"/>
                <w:bCs w:val="false"/>
                <w:color w:val="000000"/>
                <w:sz w:val="18"/>
                <w:szCs w:val="18"/>
              </w:rPr>
              <w:t xml:space="preserve">Drives detectProductType() — the type system itself</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billingType</w:t>
            </w:r>
          </w:p>
        </w:tc>
        <w:tc>
          <w:tcPr>
            <w:tcW w:type="pct" w:w="70%"/>
            <w:tcMar>
              <w:top w:type="dxa" w:w="60"/>
              <w:left w:type="dxa" w:w="100"/>
              <w:bottom w:type="dxa" w:w="60"/>
              <w:right w:type="dxa" w:w="100"/>
            </w:tcMar>
          </w:tcPr>
          <w:p>
            <w:r>
              <w:rPr>
                <w:b w:val="false"/>
                <w:bCs w:val="false"/>
                <w:color w:val="000000"/>
                <w:sz w:val="18"/>
                <w:szCs w:val="18"/>
              </w:rPr>
              <w:t xml:space="preserve">Cleaned to one_time | recurring_monthly (was 4 overlapping values: one_time/recurring_monthly/recurring/fixed)</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visibility, isPublic</w:t>
            </w:r>
          </w:p>
        </w:tc>
        <w:tc>
          <w:tcPr>
            <w:tcW w:type="pct" w:w="70%"/>
            <w:tcMar>
              <w:top w:type="dxa" w:w="60"/>
              <w:left w:type="dxa" w:w="100"/>
              <w:bottom w:type="dxa" w:w="60"/>
              <w:right w:type="dxa" w:w="100"/>
            </w:tcMar>
          </w:tcPr>
          <w:p>
            <w:r>
              <w:rPr>
                <w:b w:val="false"/>
                <w:bCs w:val="false"/>
                <w:color w:val="000000"/>
                <w:sz w:val="18"/>
                <w:szCs w:val="18"/>
              </w:rPr>
              <w:t xml:space="preserve">isPublic kept as a derived/synced flag alongside visibility, not removed</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isFreeOffering, allowFreeCheckout</w:t>
            </w:r>
          </w:p>
        </w:tc>
        <w:tc>
          <w:tcPr>
            <w:tcW w:type="pct" w:w="70%"/>
            <w:tcMar>
              <w:top w:type="dxa" w:w="60"/>
              <w:left w:type="dxa" w:w="100"/>
              <w:bottom w:type="dxa" w:w="60"/>
              <w:right w:type="dxa" w:w="100"/>
            </w:tcMar>
          </w:tcPr>
          <w:p>
            <w:r>
              <w:rPr>
                <w:b w:val="false"/>
                <w:bCs w:val="false"/>
                <w:color w:val="000000"/>
                <w:sz w:val="18"/>
                <w:szCs w:val="18"/>
              </w:rPr>
              <w:t xml:space="preserve">Checkout-path logic, universal</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sortOrder</w:t>
            </w:r>
          </w:p>
        </w:tc>
        <w:tc>
          <w:tcPr>
            <w:tcW w:type="pct" w:w="70%"/>
            <w:tcMar>
              <w:top w:type="dxa" w:w="60"/>
              <w:left w:type="dxa" w:w="100"/>
              <w:bottom w:type="dxa" w:w="60"/>
              <w:right w:type="dxa" w:w="100"/>
            </w:tcMar>
          </w:tcPr>
          <w:p>
            <w:r>
              <w:rPr>
                <w:b w:val="false"/>
                <w:bCs w:val="false"/>
                <w:color w:val="000000"/>
                <w:sz w:val="18"/>
                <w:szCs w:val="18"/>
              </w:rPr>
              <w:t xml:space="preserve">List ordering, universal</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fulfillmentTypeKey</w:t>
            </w:r>
          </w:p>
        </w:tc>
        <w:tc>
          <w:tcPr>
            <w:tcW w:type="pct" w:w="70%"/>
            <w:tcMar>
              <w:top w:type="dxa" w:w="60"/>
              <w:left w:type="dxa" w:w="100"/>
              <w:bottom w:type="dxa" w:w="60"/>
              <w:right w:type="dxa" w:w="100"/>
            </w:tcMar>
          </w:tcPr>
          <w:p>
            <w:r>
              <w:rPr>
                <w:b w:val="false"/>
                <w:bCs w:val="false"/>
                <w:color w:val="000000"/>
                <w:sz w:val="18"/>
                <w:szCs w:val="18"/>
              </w:rPr>
              <w:t xml:space="preserve">Confirmed canonical — resolve_fulfillment() routes on this. fulfillment_type (old enum) is dropped, superseded by this + the fulfillment_types registry</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triggeringSignalKeys</w:t>
            </w:r>
          </w:p>
        </w:tc>
        <w:tc>
          <w:tcPr>
            <w:tcW w:type="pct" w:w="70%"/>
            <w:tcMar>
              <w:top w:type="dxa" w:w="60"/>
              <w:left w:type="dxa" w:w="100"/>
              <w:bottom w:type="dxa" w:w="60"/>
              <w:right w:type="dxa" w:w="100"/>
            </w:tcMar>
          </w:tcPr>
          <w:p>
            <w:r>
              <w:rPr>
                <w:b w:val="false"/>
                <w:bCs w:val="false"/>
                <w:color w:val="000000"/>
                <w:sz w:val="18"/>
                <w:szCs w:val="18"/>
              </w:rPr>
              <w:t xml:space="preserve">Signal-triggered fulfillment, used across types</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serviceType</w:t>
            </w:r>
          </w:p>
        </w:tc>
        <w:tc>
          <w:tcPr>
            <w:tcW w:type="pct" w:w="70%"/>
            <w:tcMar>
              <w:top w:type="dxa" w:w="60"/>
              <w:left w:type="dxa" w:w="100"/>
              <w:bottom w:type="dxa" w:w="60"/>
              <w:right w:type="dxa" w:w="100"/>
            </w:tcMar>
          </w:tcPr>
          <w:p>
            <w:r>
              <w:rPr>
                <w:b w:val="false"/>
                <w:bCs w:val="false"/>
                <w:color w:val="000000"/>
                <w:sz w:val="18"/>
                <w:szCs w:val="18"/>
              </w:rPr>
              <w:t xml:space="preserve">CONFIRMED LIVE via grep — filters Portal checkout (portal.ts:8051) and public API (public-services.ts:16). Not redundant with serviceClass/deliveryType; keep as-is</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pageSlug</w:t>
            </w:r>
          </w:p>
        </w:tc>
        <w:tc>
          <w:tcPr>
            <w:tcW w:type="pct" w:w="70%"/>
            <w:tcMar>
              <w:top w:type="dxa" w:w="60"/>
              <w:left w:type="dxa" w:w="100"/>
              <w:bottom w:type="dxa" w:w="60"/>
              <w:right w:type="dxa" w:w="100"/>
            </w:tcMar>
          </w:tcPr>
          <w:p>
            <w:r>
              <w:rPr>
                <w:b w:val="false"/>
                <w:bCs w:val="false"/>
                <w:color w:val="000000"/>
                <w:sz w:val="18"/>
                <w:szCs w:val="18"/>
              </w:rPr>
              <w:t xml:space="preserve">CONFIRMED LIVE via grep — drives /quick-wins/:slug routing and quiz quick-win results filtering. Load-bearing, keep as-is</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overviewPdfKey, overviewPdfGeneratedAt</w:t>
            </w:r>
          </w:p>
        </w:tc>
        <w:tc>
          <w:tcPr>
            <w:tcW w:type="pct" w:w="70%"/>
            <w:tcMar>
              <w:top w:type="dxa" w:w="60"/>
              <w:left w:type="dxa" w:w="100"/>
              <w:bottom w:type="dxa" w:w="60"/>
              <w:right w:type="dxa" w:w="100"/>
            </w:tcMar>
          </w:tcPr>
          <w:p>
            <w:r>
              <w:rPr>
                <w:b w:val="false"/>
                <w:bCs w:val="false"/>
                <w:color w:val="000000"/>
                <w:sz w:val="18"/>
                <w:szCs w:val="18"/>
              </w:rPr>
              <w:t xml:space="preserve">Gen PDF mechanic, shared across Assessment/Project/Retainer/Document Product</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customerAgreementTemplate, workflowTemplateId</w:t>
            </w:r>
          </w:p>
        </w:tc>
        <w:tc>
          <w:tcPr>
            <w:tcW w:type="pct" w:w="70%"/>
            <w:tcMar>
              <w:top w:type="dxa" w:w="60"/>
              <w:left w:type="dxa" w:w="100"/>
              <w:bottom w:type="dxa" w:w="60"/>
              <w:right w:type="dxa" w:w="100"/>
            </w:tcMar>
          </w:tcPr>
          <w:p>
            <w:r>
              <w:rPr>
                <w:b w:val="false"/>
                <w:bCs w:val="false"/>
                <w:color w:val="000000"/>
                <w:sz w:val="18"/>
                <w:szCs w:val="18"/>
              </w:rPr>
              <w:t xml:space="preserve">Shared across contract-generating types</w:t>
            </w:r>
          </w:p>
        </w:tc>
      </w:tr>
      <w:tr>
        <w:tc>
          <w:tcPr>
            <w:tcW w:type="pct" w:w="30%"/>
            <w:tcMar>
              <w:top w:type="dxa" w:w="60"/>
              <w:left w:type="dxa" w:w="100"/>
              <w:bottom w:type="dxa" w:w="60"/>
              <w:right w:type="dxa" w:w="100"/>
            </w:tcMar>
          </w:tcPr>
          <w:p>
            <w:r>
              <w:rPr>
                <w:rFonts w:ascii="Consolas" w:cs="Consolas" w:eastAsia="Consolas" w:hAnsi="Consolas"/>
                <w:b w:val="false"/>
                <w:bCs w:val="false"/>
                <w:color w:val="000000"/>
                <w:sz w:val="18"/>
                <w:szCs w:val="18"/>
              </w:rPr>
              <w:t xml:space="preserve">createdAt, updatedAt</w:t>
            </w:r>
          </w:p>
        </w:tc>
        <w:tc>
          <w:tcPr>
            <w:tcW w:type="pct" w:w="70%"/>
            <w:tcMar>
              <w:top w:type="dxa" w:w="60"/>
              <w:left w:type="dxa" w:w="100"/>
              <w:bottom w:type="dxa" w:w="60"/>
              <w:right w:type="dxa" w:w="100"/>
            </w:tcMar>
          </w:tcPr>
          <w:p>
            <w:r>
              <w:rPr>
                <w:b w:val="false"/>
                <w:bCs w:val="false"/>
                <w:color w:val="000000"/>
                <w:sz w:val="18"/>
                <w:szCs w:val="18"/>
              </w:rPr>
              <w:t xml:space="preserve">Standard</w:t>
            </w:r>
          </w:p>
        </w:tc>
      </w:tr>
    </w:tbl>
    <w:p>
      <w:pPr>
        <w:pStyle w:val="Heading3"/>
        <w:spacing w:after="100" w:before="200"/>
      </w:pPr>
      <w:r>
        <w:rPr>
          <w:b/>
          <w:bCs/>
          <w:color w:val="0A2540"/>
          <w:sz w:val="21"/>
          <w:szCs w:val="21"/>
        </w:rPr>
        <w:t xml:space="preserve">typeAttributes (single jsonb column) — type-specific fields</w:t>
      </w:r>
    </w:p>
    <w:p>
      <w:pPr>
        <w:spacing w:after="120"/>
      </w:pPr>
      <w:r>
        <w:rPr>
          <w:sz w:val="22"/>
          <w:szCs w:val="22"/>
        </w:rPr>
        <w:t xml:space="preserve">Everything specific to one or two types moves here instead of becoming permanent columns — this is the actual fix for the root cause (every era adding columns, never removing them). Structure and validation live in the type template config, in code, fully visible — not an opaque blob. Fields here are read by fetching the specific row by id, never filtered at the SQL/WHERE-clause level across many rows, which is what makes jsonb the right fit (contrast with serviceType/pageSlug above, which genuinely need to stay queryable columns).</w:t>
      </w:r>
    </w:p>
    <w:p>
      <w:pPr>
        <w:pStyle w:val="ListParagraph"/>
        <w:numPr>
          <w:ilvl w:val="0"/>
          <w:numId w:val="2"/>
        </w:numPr>
        <w:spacing w:after="80"/>
      </w:pPr>
      <w:r>
        <w:rPr>
          <w:sz w:val="22"/>
          <w:szCs w:val="22"/>
        </w:rPr>
        <w:t xml:space="preserve">order_workflow (Project Template / WorkflowBuilder — WizardStep[]) — Project only. Real, valuable feature (multi-step client questionnaire with per-option price adjustments); moves into typeAttributes.project.orderWorkflow, not dropped.</w:t>
      </w:r>
    </w:p>
    <w:p>
      <w:pPr>
        <w:pStyle w:val="ListParagraph"/>
        <w:numPr>
          <w:ilvl w:val="0"/>
          <w:numId w:val="2"/>
        </w:numPr>
        <w:spacing w:after="80"/>
      </w:pPr>
      <w:r>
        <w:rPr>
          <w:sz w:val="22"/>
          <w:szCs w:val="22"/>
        </w:rPr>
        <w:t xml:space="preserve">tenantTierLabel, seatMin, seatMax, seatCountFloor, pricePerUserMonth, includedEngines, includedFeatures, minMspPlanTier, flatMonthlySurcharge — Monitoring Tier only (flatMonthlySurcharge is new, added in Revision 2 for Premium's +$140/mo flat charge).</w:t>
      </w:r>
    </w:p>
    <w:p>
      <w:pPr>
        <w:pStyle w:val="ListParagraph"/>
        <w:numPr>
          <w:ilvl w:val="0"/>
          <w:numId w:val="2"/>
        </w:numPr>
        <w:spacing w:after="80"/>
      </w:pPr>
      <w:r>
        <w:rPr>
          <w:rFonts w:ascii="Consolas" w:cs="Consolas" w:eastAsia="Consolas" w:hAnsi="Consolas"/>
          <w:color w:val="444441"/>
          <w:sz w:val="20"/>
          <w:szCs w:val="20"/>
        </w:rPr>
        <w:t xml:space="preserve">tierCapabilities</w:t>
      </w:r>
      <w:r>
        <w:rPr>
          <w:sz w:val="22"/>
          <w:szCs w:val="22"/>
        </w:rPr>
        <w:t xml:space="preserve"> — CONFIRMED LIVE via grep, consumed directly by msp-entitlement.ts for MSP plan-tier gating. Moves into typeAttributes.platform_tier.tierCapabilities; the 3 server files that read it (msp-entitlement.ts, msp-signup.ts, msp-plan-management.ts) need their column access updated to the jsonb path as part of this migration — not optional, this is load-bearing. Separately, Msp.tsx on the marketing site has a type mismatch (typed as string[], schema is Record&lt;string, boolean&gt;) — file as its own bug fix, not part of this rebuild.</w:t>
      </w:r>
    </w:p>
    <w:p>
      <w:pPr>
        <w:pStyle w:val="ListParagraph"/>
        <w:numPr>
          <w:ilvl w:val="0"/>
          <w:numId w:val="2"/>
        </w:numPr>
        <w:spacing w:after="80"/>
      </w:pPr>
      <w:r>
        <w:rPr>
          <w:sz w:val="22"/>
          <w:szCs w:val="22"/>
        </w:rPr>
        <w:t xml:space="preserve">deliverables, inclusions, features — kept, type-scoped to whichever types actually display them publicly (Assessment, Project, Retainer, Credit Pack, Document Product).</w:t>
      </w:r>
    </w:p>
    <w:p>
      <w:pPr>
        <w:pStyle w:val="ListParagraph"/>
        <w:numPr>
          <w:ilvl w:val="0"/>
          <w:numId w:val="2"/>
        </w:numPr>
        <w:spacing w:after="80"/>
      </w:pPr>
      <w:r>
        <w:rPr>
          <w:sz w:val="22"/>
          <w:szCs w:val="22"/>
        </w:rPr>
        <w:t xml:space="preserve">durationDays, turnaround — Assessment/Project only.</w:t>
      </w:r>
    </w:p>
    <w:p>
      <w:pPr>
        <w:pStyle w:val="ListParagraph"/>
        <w:numPr>
          <w:ilvl w:val="0"/>
          <w:numId w:val="2"/>
        </w:numPr>
        <w:spacing w:after="80"/>
      </w:pPr>
      <w:r>
        <w:rPr>
          <w:sz w:val="22"/>
          <w:szCs w:val="22"/>
        </w:rPr>
        <w:t xml:space="preserve">hoursPerMonth — Retainer (and Assessment/Project where applicable, matching current allowed-fields behavior).</w:t>
      </w:r>
    </w:p>
    <w:p>
      <w:pPr>
        <w:pStyle w:val="ListParagraph"/>
        <w:numPr>
          <w:ilvl w:val="0"/>
          <w:numId w:val="2"/>
        </w:numPr>
        <w:spacing w:after="80"/>
      </w:pPr>
      <w:r>
        <w:rPr>
          <w:sz w:val="22"/>
          <w:szCs w:val="22"/>
        </w:rPr>
        <w:t xml:space="preserve">badge, highlighted, iconName, targetAudience — marketing/display fields, type-scoped to publicly-displayed types.</w:t>
      </w:r>
    </w:p>
    <w:p>
      <w:pPr>
        <w:pStyle w:val="ListParagraph"/>
        <w:numPr>
          <w:ilvl w:val="0"/>
          <w:numId w:val="2"/>
        </w:numPr>
        <w:spacing w:after="80"/>
      </w:pPr>
      <w:r>
        <w:rPr>
          <w:sz w:val="22"/>
          <w:szCs w:val="22"/>
        </w:rPr>
        <w:t xml:space="preserve">flatMonthlyPrice — Recurring Add-on only.</w:t>
      </w:r>
    </w:p>
    <w:p>
      <w:pPr>
        <w:pStyle w:val="ListParagraph"/>
        <w:numPr>
          <w:ilvl w:val="0"/>
          <w:numId w:val="2"/>
        </w:numPr>
        <w:spacing w:after="80"/>
      </w:pPr>
      <w:r>
        <w:rPr>
          <w:sz w:val="22"/>
          <w:szCs w:val="22"/>
        </w:rPr>
        <w:t xml:space="preserve">documentTier, relatedProductSlug — Document Product only (see Part 2).</w:t>
      </w:r>
    </w:p>
    <w:p>
      <w:pPr>
        <w:pStyle w:val="ListParagraph"/>
        <w:numPr>
          <w:ilvl w:val="0"/>
          <w:numId w:val="2"/>
        </w:numPr>
        <w:spacing w:after="80"/>
      </w:pPr>
      <w:r>
        <w:rPr>
          <w:sz w:val="22"/>
          <w:szCs w:val="22"/>
        </w:rPr>
        <w:t xml:space="preserve">tenantAllowance, aiCreditAllowancePlatformValue, aiCreditAllowanceMspValue, aiCreditOverageRateCents, overageRateCents — Platform Subscription Tier only. Note: the existing single aiCreditAllowance column doesn't match the real rate card, which splits platform-value and MSP-value credit pools separately (per the AI cost governance model) — this is a genuine field split, not a rename.</w:t>
      </w:r>
    </w:p>
    <w:p>
      <w:pPr>
        <w:pStyle w:val="Heading3"/>
        <w:spacing w:after="100" w:before="200"/>
      </w:pPr>
      <w:r>
        <w:rPr>
          <w:b/>
          <w:bCs/>
          <w:color w:val="0A2540"/>
          <w:sz w:val="21"/>
          <w:szCs w:val="21"/>
        </w:rPr>
        <w:t xml:space="preserve">Dropped entirely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0A2540" w:val="clear"/>
            <w:tcMar>
              <w:top w:type="dxa" w:w="60"/>
              <w:left w:type="dxa" w:w="100"/>
              <w:bottom w:type="dxa" w:w="60"/>
              <w:right w:type="dxa" w:w="100"/>
            </w:tcMar>
          </w:tcPr>
          <w:p>
            <w:r>
              <w:rPr>
                <w:b/>
                <w:bCs/>
                <w:color w:val="FFFFFF"/>
                <w:sz w:val="18"/>
                <w:szCs w:val="18"/>
              </w:rPr>
              <w:t xml:space="preserve">Column / table</w:t>
            </w:r>
          </w:p>
        </w:tc>
        <w:tc>
          <w:tcPr>
            <w:tcW w:type="pct" w:w="65%"/>
            <w:shd w:fill="0A2540" w:val="clear"/>
            <w:tcMar>
              <w:top w:type="dxa" w:w="60"/>
              <w:left w:type="dxa" w:w="100"/>
              <w:bottom w:type="dxa" w:w="60"/>
              <w:right w:type="dxa" w:w="100"/>
            </w:tcMar>
          </w:tcPr>
          <w:p>
            <w:r>
              <w:rPr>
                <w:b/>
                <w:bCs/>
                <w:color w:val="FFFFFF"/>
                <w:sz w:val="18"/>
                <w:szCs w:val="18"/>
              </w:rPr>
              <w:t xml:space="preserve">Why</w:t>
            </w:r>
          </w:p>
        </w:tc>
      </w:tr>
      <w:tr>
        <w:tc>
          <w:tcPr>
            <w:tcW w:type="pct" w:w="35%"/>
            <w:tcMar>
              <w:top w:type="dxa" w:w="60"/>
              <w:left w:type="dxa" w:w="100"/>
              <w:bottom w:type="dxa" w:w="60"/>
              <w:right w:type="dxa" w:w="100"/>
            </w:tcMar>
          </w:tcPr>
          <w:p>
            <w:r>
              <w:rPr>
                <w:rFonts w:ascii="Consolas" w:cs="Consolas" w:eastAsia="Consolas" w:hAnsi="Consolas"/>
                <w:b w:val="false"/>
                <w:bCs w:val="false"/>
                <w:color w:val="000000"/>
                <w:sz w:val="18"/>
                <w:szCs w:val="18"/>
              </w:rPr>
              <w:t xml:space="preserve">required_app_permissions, service_script_sets, service_required_scripts</w:t>
            </w:r>
          </w:p>
        </w:tc>
        <w:tc>
          <w:tcPr>
            <w:tcW w:type="pct" w:w="65%"/>
            <w:tcMar>
              <w:top w:type="dxa" w:w="60"/>
              <w:left w:type="dxa" w:w="100"/>
              <w:bottom w:type="dxa" w:w="60"/>
              <w:right w:type="dxa" w:w="100"/>
            </w:tcMar>
          </w:tcPr>
          <w:p>
            <w:r>
              <w:rPr>
                <w:b w:val="false"/>
                <w:bCs w:val="false"/>
                <w:color w:val="000000"/>
                <w:sz w:val="18"/>
                <w:szCs w:val="18"/>
              </w:rPr>
              <w:t xml:space="preserve">Retired per-customer App Registration / auto-run script model (#2688 already replaced this with one multi-tenant admin-consent app). Confirmed drop, no migration.</w:t>
            </w:r>
          </w:p>
        </w:tc>
      </w:tr>
      <w:tr>
        <w:tc>
          <w:tcPr>
            <w:tcW w:type="pct" w:w="35%"/>
            <w:tcMar>
              <w:top w:type="dxa" w:w="60"/>
              <w:left w:type="dxa" w:w="100"/>
              <w:bottom w:type="dxa" w:w="60"/>
              <w:right w:type="dxa" w:w="100"/>
            </w:tcMar>
          </w:tcPr>
          <w:p>
            <w:r>
              <w:rPr>
                <w:rFonts w:ascii="Consolas" w:cs="Consolas" w:eastAsia="Consolas" w:hAnsi="Consolas"/>
                <w:b w:val="false"/>
                <w:bCs w:val="false"/>
                <w:color w:val="000000"/>
                <w:sz w:val="18"/>
                <w:szCs w:val="18"/>
              </w:rPr>
              <w:t xml:space="preserve">category</w:t>
            </w:r>
          </w:p>
        </w:tc>
        <w:tc>
          <w:tcPr>
            <w:tcW w:type="pct" w:w="65%"/>
            <w:tcMar>
              <w:top w:type="dxa" w:w="60"/>
              <w:left w:type="dxa" w:w="100"/>
              <w:bottom w:type="dxa" w:w="60"/>
              <w:right w:type="dxa" w:w="100"/>
            </w:tcMar>
          </w:tcPr>
          <w:p>
            <w:r>
              <w:rPr>
                <w:b w:val="false"/>
                <w:bCs w:val="false"/>
                <w:color w:val="000000"/>
                <w:sz w:val="18"/>
                <w:szCs w:val="18"/>
              </w:rPr>
              <w:t xml:space="preserve">Superseded by categoryPath; doc labels it “legacy flat label” itself.</w:t>
            </w:r>
          </w:p>
        </w:tc>
      </w:tr>
      <w:tr>
        <w:tc>
          <w:tcPr>
            <w:tcW w:type="pct" w:w="35%"/>
            <w:tcMar>
              <w:top w:type="dxa" w:w="60"/>
              <w:left w:type="dxa" w:w="100"/>
              <w:bottom w:type="dxa" w:w="60"/>
              <w:right w:type="dxa" w:w="100"/>
            </w:tcMar>
          </w:tcPr>
          <w:p>
            <w:r>
              <w:rPr>
                <w:rFonts w:ascii="Consolas" w:cs="Consolas" w:eastAsia="Consolas" w:hAnsi="Consolas"/>
                <w:b w:val="false"/>
                <w:bCs w:val="false"/>
                <w:color w:val="000000"/>
                <w:sz w:val="18"/>
                <w:szCs w:val="18"/>
              </w:rPr>
              <w:t xml:space="preserve">best_for, triggers</w:t>
            </w:r>
          </w:p>
        </w:tc>
        <w:tc>
          <w:tcPr>
            <w:tcW w:type="pct" w:w="65%"/>
            <w:tcMar>
              <w:top w:type="dxa" w:w="60"/>
              <w:left w:type="dxa" w:w="100"/>
              <w:bottom w:type="dxa" w:w="60"/>
              <w:right w:type="dxa" w:w="100"/>
            </w:tcMar>
          </w:tcPr>
          <w:p>
            <w:r>
              <w:rPr>
                <w:b w:val="false"/>
                <w:bCs w:val="false"/>
                <w:color w:val="000000"/>
                <w:sz w:val="18"/>
                <w:szCs w:val="18"/>
              </w:rPr>
              <w:t xml:space="preserve">Confirmed unused in UI.</w:t>
            </w:r>
          </w:p>
        </w:tc>
      </w:tr>
      <w:tr>
        <w:tc>
          <w:tcPr>
            <w:tcW w:type="pct" w:w="35%"/>
            <w:tcMar>
              <w:top w:type="dxa" w:w="60"/>
              <w:left w:type="dxa" w:w="100"/>
              <w:bottom w:type="dxa" w:w="60"/>
              <w:right w:type="dxa" w:w="100"/>
            </w:tcMar>
          </w:tcPr>
          <w:p>
            <w:r>
              <w:rPr>
                <w:rFonts w:ascii="Consolas" w:cs="Consolas" w:eastAsia="Consolas" w:hAnsi="Consolas"/>
                <w:b w:val="false"/>
                <w:bCs w:val="false"/>
                <w:color w:val="000000"/>
                <w:sz w:val="18"/>
                <w:szCs w:val="18"/>
              </w:rPr>
              <w:t xml:space="preserve">trial_period_days (on Products)</w:t>
            </w:r>
          </w:p>
        </w:tc>
        <w:tc>
          <w:tcPr>
            <w:tcW w:type="pct" w:w="65%"/>
            <w:tcMar>
              <w:top w:type="dxa" w:w="60"/>
              <w:left w:type="dxa" w:w="100"/>
              <w:bottom w:type="dxa" w:w="60"/>
              <w:right w:type="dxa" w:w="100"/>
            </w:tcMar>
          </w:tcPr>
          <w:p>
            <w:r>
              <w:rPr>
                <w:b w:val="false"/>
                <w:bCs w:val="false"/>
                <w:color w:val="000000"/>
                <w:sz w:val="18"/>
                <w:szCs w:val="18"/>
              </w:rPr>
              <w:t xml:space="preserve">Contradicts the locked #2689 decision that trial terms live on the Offer, not the Product.</w:t>
            </w:r>
          </w:p>
        </w:tc>
      </w:tr>
      <w:tr>
        <w:tc>
          <w:tcPr>
            <w:tcW w:type="pct" w:w="35%"/>
            <w:tcMar>
              <w:top w:type="dxa" w:w="60"/>
              <w:left w:type="dxa" w:w="100"/>
              <w:bottom w:type="dxa" w:w="60"/>
              <w:right w:type="dxa" w:w="100"/>
            </w:tcMar>
          </w:tcPr>
          <w:p>
            <w:r>
              <w:rPr>
                <w:rFonts w:ascii="Consolas" w:cs="Consolas" w:eastAsia="Consolas" w:hAnsi="Consolas"/>
                <w:b w:val="false"/>
                <w:bCs w:val="false"/>
                <w:color w:val="000000"/>
                <w:sz w:val="18"/>
                <w:szCs w:val="18"/>
              </w:rPr>
              <w:t xml:space="preserve">fulfillment_type (old enum)</w:t>
            </w:r>
          </w:p>
        </w:tc>
        <w:tc>
          <w:tcPr>
            <w:tcW w:type="pct" w:w="65%"/>
            <w:tcMar>
              <w:top w:type="dxa" w:w="60"/>
              <w:left w:type="dxa" w:w="100"/>
              <w:bottom w:type="dxa" w:w="60"/>
              <w:right w:type="dxa" w:w="100"/>
            </w:tcMar>
          </w:tcPr>
          <w:p>
            <w:r>
              <w:rPr>
                <w:b w:val="false"/>
                <w:bCs w:val="false"/>
                <w:color w:val="000000"/>
                <w:sz w:val="18"/>
                <w:szCs w:val="18"/>
              </w:rPr>
              <w:t xml:space="preserve">Superseded by fulfillment_type_key + the fulfillment_types registry, confirmed via #2706 build audit.</w:t>
            </w:r>
          </w:p>
        </w:tc>
      </w:tr>
      <w:tr>
        <w:tc>
          <w:tcPr>
            <w:tcW w:type="pct" w:w="35%"/>
            <w:tcMar>
              <w:top w:type="dxa" w:w="60"/>
              <w:left w:type="dxa" w:w="100"/>
              <w:bottom w:type="dxa" w:w="60"/>
              <w:right w:type="dxa" w:w="100"/>
            </w:tcMar>
          </w:tcPr>
          <w:p>
            <w:r>
              <w:rPr>
                <w:rFonts w:ascii="Consolas" w:cs="Consolas" w:eastAsia="Consolas" w:hAnsi="Consolas"/>
                <w:b w:val="false"/>
                <w:bCs w:val="false"/>
                <w:color w:val="000000"/>
                <w:sz w:val="18"/>
                <w:szCs w:val="18"/>
              </w:rPr>
              <w:t xml:space="preserve">tier</w:t>
            </w:r>
          </w:p>
        </w:tc>
        <w:tc>
          <w:tcPr>
            <w:tcW w:type="pct" w:w="65%"/>
            <w:tcMar>
              <w:top w:type="dxa" w:w="60"/>
              <w:left w:type="dxa" w:w="100"/>
              <w:bottom w:type="dxa" w:w="60"/>
              <w:right w:type="dxa" w:w="100"/>
            </w:tcMar>
          </w:tcPr>
          <w:p>
            <w:r>
              <w:rPr>
                <w:b w:val="false"/>
                <w:bCs w:val="false"/>
                <w:color w:val="000000"/>
                <w:sz w:val="18"/>
                <w:szCs w:val="18"/>
              </w:rPr>
              <w:t xml:space="preserve">Confirmed low-value via grep — admin-only badge/filter, no customer-facing use, zero populated rows. Removing ~4 small display usages alongside the column.</w:t>
            </w:r>
          </w:p>
        </w:tc>
      </w:tr>
    </w:tbl>
    <w:p>
      <w:pPr>
        <w:spacing w:after="120"/>
      </w:pPr>
      <w:r>
        <w:rPr>
          <w:sz w:val="22"/>
          <w:szCs w:val="22"/>
        </w:rPr>
        <w:t xml:space="preserve">Two bugs surfaced during this audit, tracked separately — not part of this schema/UI rebuild: (1) Pricing.tsx:112 and Services.tsx:70 compare serviceType against “project_engagement” / “project”, neither a real enum value, so those filters always return empty. (2) Msp.tsx types tierCapabilities as string[] against a Record&lt;string, boolean&gt; schema.</w:t>
      </w:r>
    </w:p>
    <w:p>
      <w:pPr>
        <w:pStyle w:val="Heading2"/>
        <w:spacing w:after="120" w:before="280"/>
      </w:pPr>
      <w:r>
        <w:rPr>
          <w:b/>
          <w:bCs/>
          <w:color w:val="0A2540"/>
          <w:sz w:val="24"/>
          <w:szCs w:val="24"/>
        </w:rPr>
        <w:t xml:space="preserve">Part 2 — All 7 Product Type Templates</w:t>
      </w:r>
    </w:p>
    <w:p>
      <w:pPr>
        <w:spacing w:after="120"/>
      </w:pPr>
      <w:r>
        <w:rPr>
          <w:sz w:val="22"/>
          <w:szCs w:val="22"/>
        </w:rPr>
        <w:t xml:space="preserve">Each row below is what a type's template config declares: core-column defaults, and which typeAttributes fields it exposes. This table is the actual contract the config-driven editor renders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0A2540" w:val="clear"/>
            <w:tcMar>
              <w:top w:type="dxa" w:w="60"/>
              <w:left w:type="dxa" w:w="100"/>
              <w:bottom w:type="dxa" w:w="60"/>
              <w:right w:type="dxa" w:w="100"/>
            </w:tcMar>
          </w:tcPr>
          <w:p>
            <w:r>
              <w:rPr>
                <w:b/>
                <w:bCs/>
                <w:color w:val="FFFFFF"/>
                <w:sz w:val="18"/>
                <w:szCs w:val="18"/>
              </w:rPr>
              <w:t xml:space="preserve">Type</w:t>
            </w:r>
          </w:p>
        </w:tc>
        <w:tc>
          <w:tcPr>
            <w:tcW w:type="pct" w:w="22%"/>
            <w:shd w:fill="0A2540" w:val="clear"/>
            <w:tcMar>
              <w:top w:type="dxa" w:w="60"/>
              <w:left w:type="dxa" w:w="100"/>
              <w:bottom w:type="dxa" w:w="60"/>
              <w:right w:type="dxa" w:w="100"/>
            </w:tcMar>
          </w:tcPr>
          <w:p>
            <w:r>
              <w:rPr>
                <w:b/>
                <w:bCs/>
                <w:color w:val="FFFFFF"/>
                <w:sz w:val="18"/>
                <w:szCs w:val="18"/>
              </w:rPr>
              <w:t xml:space="preserve">serviceClass / deliveryType</w:t>
            </w:r>
          </w:p>
        </w:tc>
        <w:tc>
          <w:tcPr>
            <w:tcW w:type="pct" w:w="14%"/>
            <w:shd w:fill="0A2540" w:val="clear"/>
            <w:tcMar>
              <w:top w:type="dxa" w:w="60"/>
              <w:left w:type="dxa" w:w="100"/>
              <w:bottom w:type="dxa" w:w="60"/>
              <w:right w:type="dxa" w:w="100"/>
            </w:tcMar>
          </w:tcPr>
          <w:p>
            <w:r>
              <w:rPr>
                <w:b/>
                <w:bCs/>
                <w:color w:val="FFFFFF"/>
                <w:sz w:val="18"/>
                <w:szCs w:val="18"/>
              </w:rPr>
              <w:t xml:space="preserve">Billing</w:t>
            </w:r>
          </w:p>
        </w:tc>
        <w:tc>
          <w:tcPr>
            <w:tcW w:type="pct" w:w="48%"/>
            <w:shd w:fill="0A2540" w:val="clear"/>
            <w:tcMar>
              <w:top w:type="dxa" w:w="60"/>
              <w:left w:type="dxa" w:w="100"/>
              <w:bottom w:type="dxa" w:w="60"/>
              <w:right w:type="dxa" w:w="100"/>
            </w:tcMar>
          </w:tcPr>
          <w:p>
            <w:r>
              <w:rPr>
                <w:b/>
                <w:bCs/>
                <w:color w:val="FFFFFF"/>
                <w:sz w:val="18"/>
                <w:szCs w:val="18"/>
              </w:rPr>
              <w:t xml:space="preserve">Key typeAttributes</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Credit Pack</w:t>
            </w:r>
          </w:p>
        </w:tc>
        <w:tc>
          <w:tcPr>
            <w:tcW w:type="pct" w:w="22%"/>
            <w:tcMar>
              <w:top w:type="dxa" w:w="60"/>
              <w:left w:type="dxa" w:w="100"/>
              <w:bottom w:type="dxa" w:w="60"/>
              <w:right w:type="dxa" w:w="100"/>
            </w:tcMar>
          </w:tcPr>
          <w:p>
            <w:r>
              <w:rPr>
                <w:b w:val="false"/>
                <w:bCs w:val="false"/>
                <w:color w:val="000000"/>
                <w:sz w:val="18"/>
                <w:szCs w:val="18"/>
              </w:rPr>
              <w:t xml:space="preserve">add_on / none</w:t>
            </w:r>
          </w:p>
        </w:tc>
        <w:tc>
          <w:tcPr>
            <w:tcW w:type="pct" w:w="14%"/>
            <w:tcMar>
              <w:top w:type="dxa" w:w="60"/>
              <w:left w:type="dxa" w:w="100"/>
              <w:bottom w:type="dxa" w:w="60"/>
              <w:right w:type="dxa" w:w="100"/>
            </w:tcMar>
          </w:tcPr>
          <w:p>
            <w:r>
              <w:rPr>
                <w:b w:val="false"/>
                <w:bCs w:val="false"/>
                <w:color w:val="000000"/>
                <w:sz w:val="18"/>
                <w:szCs w:val="18"/>
              </w:rPr>
              <w:t xml:space="preserve">one_time</w:t>
            </w:r>
          </w:p>
        </w:tc>
        <w:tc>
          <w:tcPr>
            <w:tcW w:type="pct" w:w="48%"/>
            <w:tcMar>
              <w:top w:type="dxa" w:w="60"/>
              <w:left w:type="dxa" w:w="100"/>
              <w:bottom w:type="dxa" w:w="60"/>
              <w:right w:type="dxa" w:w="100"/>
            </w:tcMar>
          </w:tcPr>
          <w:p>
            <w:r>
              <w:rPr>
                <w:b w:val="false"/>
                <w:bCs w:val="false"/>
                <w:color w:val="000000"/>
                <w:sz w:val="18"/>
                <w:szCs w:val="18"/>
              </w:rPr>
              <w:t xml:space="preserve">deliverables, inclusions, features, targetAudience</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Assessment</w:t>
            </w:r>
          </w:p>
        </w:tc>
        <w:tc>
          <w:tcPr>
            <w:tcW w:type="pct" w:w="22%"/>
            <w:tcMar>
              <w:top w:type="dxa" w:w="60"/>
              <w:left w:type="dxa" w:w="100"/>
              <w:bottom w:type="dxa" w:w="60"/>
              <w:right w:type="dxa" w:w="100"/>
            </w:tcMar>
          </w:tcPr>
          <w:p>
            <w:r>
              <w:rPr>
                <w:b w:val="false"/>
                <w:bCs w:val="false"/>
                <w:color w:val="000000"/>
                <w:sz w:val="18"/>
                <w:szCs w:val="18"/>
              </w:rPr>
              <w:t xml:space="preserve">(null) / assessment</w:t>
            </w:r>
          </w:p>
        </w:tc>
        <w:tc>
          <w:tcPr>
            <w:tcW w:type="pct" w:w="14%"/>
            <w:tcMar>
              <w:top w:type="dxa" w:w="60"/>
              <w:left w:type="dxa" w:w="100"/>
              <w:bottom w:type="dxa" w:w="60"/>
              <w:right w:type="dxa" w:w="100"/>
            </w:tcMar>
          </w:tcPr>
          <w:p>
            <w:r>
              <w:rPr>
                <w:b w:val="false"/>
                <w:bCs w:val="false"/>
                <w:color w:val="000000"/>
                <w:sz w:val="18"/>
                <w:szCs w:val="18"/>
              </w:rPr>
              <w:t xml:space="preserve">one_time</w:t>
            </w:r>
          </w:p>
        </w:tc>
        <w:tc>
          <w:tcPr>
            <w:tcW w:type="pct" w:w="48%"/>
            <w:tcMar>
              <w:top w:type="dxa" w:w="60"/>
              <w:left w:type="dxa" w:w="100"/>
              <w:bottom w:type="dxa" w:w="60"/>
              <w:right w:type="dxa" w:w="100"/>
            </w:tcMar>
          </w:tcPr>
          <w:p>
            <w:r>
              <w:rPr>
                <w:b w:val="false"/>
                <w:bCs w:val="false"/>
                <w:color w:val="000000"/>
                <w:sz w:val="18"/>
                <w:szCs w:val="18"/>
              </w:rPr>
              <w:t xml:space="preserve">basePrice/maxPrice (core), durationDays, deliverables, inclusions, features, hoursPerMonth</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Project</w:t>
            </w:r>
          </w:p>
        </w:tc>
        <w:tc>
          <w:tcPr>
            <w:tcW w:type="pct" w:w="22%"/>
            <w:tcMar>
              <w:top w:type="dxa" w:w="60"/>
              <w:left w:type="dxa" w:w="100"/>
              <w:bottom w:type="dxa" w:w="60"/>
              <w:right w:type="dxa" w:w="100"/>
            </w:tcMar>
          </w:tcPr>
          <w:p>
            <w:r>
              <w:rPr>
                <w:b w:val="false"/>
                <w:bCs w:val="false"/>
                <w:color w:val="000000"/>
                <w:sz w:val="18"/>
                <w:szCs w:val="18"/>
              </w:rPr>
              <w:t xml:space="preserve">project / (null)</w:t>
            </w:r>
          </w:p>
        </w:tc>
        <w:tc>
          <w:tcPr>
            <w:tcW w:type="pct" w:w="14%"/>
            <w:tcMar>
              <w:top w:type="dxa" w:w="60"/>
              <w:left w:type="dxa" w:w="100"/>
              <w:bottom w:type="dxa" w:w="60"/>
              <w:right w:type="dxa" w:w="100"/>
            </w:tcMar>
          </w:tcPr>
          <w:p>
            <w:r>
              <w:rPr>
                <w:b w:val="false"/>
                <w:bCs w:val="false"/>
                <w:color w:val="000000"/>
                <w:sz w:val="18"/>
                <w:szCs w:val="18"/>
              </w:rPr>
              <w:t xml:space="preserve">fixed / one_time</w:t>
            </w:r>
          </w:p>
        </w:tc>
        <w:tc>
          <w:tcPr>
            <w:tcW w:type="pct" w:w="48%"/>
            <w:tcMar>
              <w:top w:type="dxa" w:w="60"/>
              <w:left w:type="dxa" w:w="100"/>
              <w:bottom w:type="dxa" w:w="60"/>
              <w:right w:type="dxa" w:w="100"/>
            </w:tcMar>
          </w:tcPr>
          <w:p>
            <w:r>
              <w:rPr>
                <w:b w:val="false"/>
                <w:bCs w:val="false"/>
                <w:color w:val="000000"/>
                <w:sz w:val="18"/>
                <w:szCs w:val="18"/>
              </w:rPr>
              <w:t xml:space="preserve">basePrice/maxPrice + fixed price (core), durationDays, turnaround, orderWorkflow (Project Template builder), deliverables, inclusions, features, hoursPerMonth</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Retainer</w:t>
            </w:r>
          </w:p>
        </w:tc>
        <w:tc>
          <w:tcPr>
            <w:tcW w:type="pct" w:w="22%"/>
            <w:tcMar>
              <w:top w:type="dxa" w:w="60"/>
              <w:left w:type="dxa" w:w="100"/>
              <w:bottom w:type="dxa" w:w="60"/>
              <w:right w:type="dxa" w:w="100"/>
            </w:tcMar>
          </w:tcPr>
          <w:p>
            <w:r>
              <w:rPr>
                <w:b w:val="false"/>
                <w:bCs w:val="false"/>
                <w:color w:val="000000"/>
                <w:sz w:val="18"/>
                <w:szCs w:val="18"/>
              </w:rPr>
              <w:t xml:space="preserve">(null) / retainer</w:t>
            </w:r>
          </w:p>
        </w:tc>
        <w:tc>
          <w:tcPr>
            <w:tcW w:type="pct" w:w="14%"/>
            <w:tcMar>
              <w:top w:type="dxa" w:w="60"/>
              <w:left w:type="dxa" w:w="100"/>
              <w:bottom w:type="dxa" w:w="60"/>
              <w:right w:type="dxa" w:w="100"/>
            </w:tcMar>
          </w:tcPr>
          <w:p>
            <w:r>
              <w:rPr>
                <w:b w:val="false"/>
                <w:bCs w:val="false"/>
                <w:color w:val="000000"/>
                <w:sz w:val="18"/>
                <w:szCs w:val="18"/>
              </w:rPr>
              <w:t xml:space="preserve">recurring_monthly</w:t>
            </w:r>
          </w:p>
        </w:tc>
        <w:tc>
          <w:tcPr>
            <w:tcW w:type="pct" w:w="48%"/>
            <w:tcMar>
              <w:top w:type="dxa" w:w="60"/>
              <w:left w:type="dxa" w:w="100"/>
              <w:bottom w:type="dxa" w:w="60"/>
              <w:right w:type="dxa" w:w="100"/>
            </w:tcMar>
          </w:tcPr>
          <w:p>
            <w:r>
              <w:rPr>
                <w:b w:val="false"/>
                <w:bCs w:val="false"/>
                <w:color w:val="000000"/>
                <w:sz w:val="18"/>
                <w:szCs w:val="18"/>
              </w:rPr>
              <w:t xml:space="preserve">hoursPerMonth, deliverables, inclusions, features. Supports both a single fixed price (3 existing Architect tiers) and basePrice/maxPrice ranges (2 new: vCISO/Governance, Copilot Governance)</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Monitoring Tier</w:t>
            </w:r>
          </w:p>
        </w:tc>
        <w:tc>
          <w:tcPr>
            <w:tcW w:type="pct" w:w="22%"/>
            <w:tcMar>
              <w:top w:type="dxa" w:w="60"/>
              <w:left w:type="dxa" w:w="100"/>
              <w:bottom w:type="dxa" w:w="60"/>
              <w:right w:type="dxa" w:w="100"/>
            </w:tcMar>
          </w:tcPr>
          <w:p>
            <w:r>
              <w:rPr>
                <w:b w:val="false"/>
                <w:bCs w:val="false"/>
                <w:color w:val="000000"/>
                <w:sz w:val="18"/>
                <w:szCs w:val="18"/>
              </w:rPr>
              <w:t xml:space="preserve">subscription / bundle_subscription</w:t>
            </w:r>
          </w:p>
        </w:tc>
        <w:tc>
          <w:tcPr>
            <w:tcW w:type="pct" w:w="14%"/>
            <w:tcMar>
              <w:top w:type="dxa" w:w="60"/>
              <w:left w:type="dxa" w:w="100"/>
              <w:bottom w:type="dxa" w:w="60"/>
              <w:right w:type="dxa" w:w="100"/>
            </w:tcMar>
          </w:tcPr>
          <w:p>
            <w:r>
              <w:rPr>
                <w:b w:val="false"/>
                <w:bCs w:val="false"/>
                <w:color w:val="000000"/>
                <w:sz w:val="18"/>
                <w:szCs w:val="18"/>
              </w:rPr>
              <w:t xml:space="preserve">recurring_monthly</w:t>
            </w:r>
          </w:p>
        </w:tc>
        <w:tc>
          <w:tcPr>
            <w:tcW w:type="pct" w:w="48%"/>
            <w:tcMar>
              <w:top w:type="dxa" w:w="60"/>
              <w:left w:type="dxa" w:w="100"/>
              <w:bottom w:type="dxa" w:w="60"/>
              <w:right w:type="dxa" w:w="100"/>
            </w:tcMar>
          </w:tcPr>
          <w:p>
            <w:r>
              <w:rPr>
                <w:b w:val="false"/>
                <w:bCs w:val="false"/>
                <w:color w:val="000000"/>
                <w:sz w:val="18"/>
                <w:szCs w:val="18"/>
              </w:rPr>
              <w:t xml:space="preserve">tenantTierLabel, seatMin/seatMax, seatCountFloor, pricePerUserMonth, flatMonthlySurcharge, includedEngines, includedFeatures, minMspPlanTier — 12 rows (3 packs × 4 tenant tiers), each its own Product row sharing one categoryPath</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Recurring Add-on</w:t>
            </w:r>
          </w:p>
        </w:tc>
        <w:tc>
          <w:tcPr>
            <w:tcW w:type="pct" w:w="22%"/>
            <w:tcMar>
              <w:top w:type="dxa" w:w="60"/>
              <w:left w:type="dxa" w:w="100"/>
              <w:bottom w:type="dxa" w:w="60"/>
              <w:right w:type="dxa" w:w="100"/>
            </w:tcMar>
          </w:tcPr>
          <w:p>
            <w:r>
              <w:rPr>
                <w:b w:val="false"/>
                <w:bCs w:val="false"/>
                <w:color w:val="000000"/>
                <w:sz w:val="18"/>
                <w:szCs w:val="18"/>
              </w:rPr>
              <w:t xml:space="preserve">add_on / bundle_subscription</w:t>
            </w:r>
          </w:p>
        </w:tc>
        <w:tc>
          <w:tcPr>
            <w:tcW w:type="pct" w:w="14%"/>
            <w:tcMar>
              <w:top w:type="dxa" w:w="60"/>
              <w:left w:type="dxa" w:w="100"/>
              <w:bottom w:type="dxa" w:w="60"/>
              <w:right w:type="dxa" w:w="100"/>
            </w:tcMar>
          </w:tcPr>
          <w:p>
            <w:r>
              <w:rPr>
                <w:b w:val="false"/>
                <w:bCs w:val="false"/>
                <w:color w:val="000000"/>
                <w:sz w:val="18"/>
                <w:szCs w:val="18"/>
              </w:rPr>
              <w:t xml:space="preserve">recurring_monthly</w:t>
            </w:r>
          </w:p>
        </w:tc>
        <w:tc>
          <w:tcPr>
            <w:tcW w:type="pct" w:w="48%"/>
            <w:tcMar>
              <w:top w:type="dxa" w:w="60"/>
              <w:left w:type="dxa" w:w="100"/>
              <w:bottom w:type="dxa" w:w="60"/>
              <w:right w:type="dxa" w:w="100"/>
            </w:tcMar>
          </w:tcPr>
          <w:p>
            <w:r>
              <w:rPr>
                <w:b w:val="false"/>
                <w:bCs w:val="false"/>
                <w:color w:val="000000"/>
                <w:sz w:val="18"/>
                <w:szCs w:val="18"/>
              </w:rPr>
              <w:t xml:space="preserve">flatMonthlyPrice — flat per-tenant, no seat range. Covers Drift &amp; Change History Report ($99/mo), SLA/Scope Creep Compliance Report ($79/mo)</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Document Product</w:t>
            </w:r>
          </w:p>
        </w:tc>
        <w:tc>
          <w:tcPr>
            <w:tcW w:type="pct" w:w="22%"/>
            <w:tcMar>
              <w:top w:type="dxa" w:w="60"/>
              <w:left w:type="dxa" w:w="100"/>
              <w:bottom w:type="dxa" w:w="60"/>
              <w:right w:type="dxa" w:w="100"/>
            </w:tcMar>
          </w:tcPr>
          <w:p>
            <w:r>
              <w:rPr>
                <w:b w:val="false"/>
                <w:bCs w:val="false"/>
                <w:color w:val="000000"/>
                <w:sz w:val="18"/>
                <w:szCs w:val="18"/>
              </w:rPr>
              <w:t xml:space="preserve">(null) / document_generation</w:t>
            </w:r>
          </w:p>
        </w:tc>
        <w:tc>
          <w:tcPr>
            <w:tcW w:type="pct" w:w="14%"/>
            <w:tcMar>
              <w:top w:type="dxa" w:w="60"/>
              <w:left w:type="dxa" w:w="100"/>
              <w:bottom w:type="dxa" w:w="60"/>
              <w:right w:type="dxa" w:w="100"/>
            </w:tcMar>
          </w:tcPr>
          <w:p>
            <w:r>
              <w:rPr>
                <w:b w:val="false"/>
                <w:bCs w:val="false"/>
                <w:color w:val="000000"/>
                <w:sz w:val="18"/>
                <w:szCs w:val="18"/>
              </w:rPr>
              <w:t xml:space="preserve">one_time</w:t>
            </w:r>
          </w:p>
        </w:tc>
        <w:tc>
          <w:tcPr>
            <w:tcW w:type="pct" w:w="48%"/>
            <w:tcMar>
              <w:top w:type="dxa" w:w="60"/>
              <w:left w:type="dxa" w:w="100"/>
              <w:bottom w:type="dxa" w:w="60"/>
              <w:right w:type="dxa" w:w="100"/>
            </w:tcMar>
          </w:tcPr>
          <w:p>
            <w:r>
              <w:rPr>
                <w:b w:val="false"/>
                <w:bCs w:val="false"/>
                <w:color w:val="000000"/>
                <w:sz w:val="18"/>
                <w:szCs w:val="18"/>
              </w:rPr>
              <w:t xml:space="preserve">documentTier (report | plan | execution_guide | guide_script), price or basePrice/maxPrice, relatedProductSlug (links ladder rungs, e.g. an Execution Guide to its Plan). ~30 catalog items across the 4 sub-tiers</w:t>
            </w:r>
          </w:p>
        </w:tc>
      </w:tr>
      <w:tr>
        <w:tc>
          <w:tcPr>
            <w:tcW w:type="pct" w:w="16%"/>
            <w:tcMar>
              <w:top w:type="dxa" w:w="60"/>
              <w:left w:type="dxa" w:w="100"/>
              <w:bottom w:type="dxa" w:w="60"/>
              <w:right w:type="dxa" w:w="100"/>
            </w:tcMar>
          </w:tcPr>
          <w:p>
            <w:r>
              <w:rPr>
                <w:rFonts w:ascii="Consolas" w:cs="Consolas" w:eastAsia="Consolas" w:hAnsi="Consolas"/>
                <w:b w:val="false"/>
                <w:bCs w:val="false"/>
                <w:color w:val="000000"/>
                <w:sz w:val="18"/>
                <w:szCs w:val="18"/>
              </w:rPr>
              <w:t xml:space="preserve">Platform Subscription Tier</w:t>
            </w:r>
          </w:p>
        </w:tc>
        <w:tc>
          <w:tcPr>
            <w:tcW w:type="pct" w:w="22%"/>
            <w:tcMar>
              <w:top w:type="dxa" w:w="60"/>
              <w:left w:type="dxa" w:w="100"/>
              <w:bottom w:type="dxa" w:w="60"/>
              <w:right w:type="dxa" w:w="100"/>
            </w:tcMar>
          </w:tcPr>
          <w:p>
            <w:r>
              <w:rPr>
                <w:b w:val="false"/>
                <w:bCs w:val="false"/>
                <w:color w:val="000000"/>
                <w:sz w:val="18"/>
                <w:szCs w:val="18"/>
              </w:rPr>
              <w:t xml:space="preserve">subscription / (new: msp_monthly_subscription, already exists as a fulfillment_type_key value per #2706)</w:t>
            </w:r>
          </w:p>
        </w:tc>
        <w:tc>
          <w:tcPr>
            <w:tcW w:type="pct" w:w="14%"/>
            <w:tcMar>
              <w:top w:type="dxa" w:w="60"/>
              <w:left w:type="dxa" w:w="100"/>
              <w:bottom w:type="dxa" w:w="60"/>
              <w:right w:type="dxa" w:w="100"/>
            </w:tcMar>
          </w:tcPr>
          <w:p>
            <w:r>
              <w:rPr>
                <w:b w:val="false"/>
                <w:bCs w:val="false"/>
                <w:color w:val="000000"/>
                <w:sz w:val="18"/>
                <w:szCs w:val="18"/>
              </w:rPr>
              <w:t xml:space="preserve">recurring_monthly</w:t>
            </w:r>
          </w:p>
        </w:tc>
        <w:tc>
          <w:tcPr>
            <w:tcW w:type="pct" w:w="48%"/>
            <w:tcMar>
              <w:top w:type="dxa" w:w="60"/>
              <w:left w:type="dxa" w:w="100"/>
              <w:bottom w:type="dxa" w:w="60"/>
              <w:right w:type="dxa" w:w="100"/>
            </w:tcMar>
          </w:tcPr>
          <w:p>
            <w:r>
              <w:rPr>
                <w:b w:val="false"/>
                <w:bCs w:val="false"/>
                <w:color w:val="000000"/>
                <w:sz w:val="18"/>
                <w:szCs w:val="18"/>
              </w:rPr>
              <w:t xml:space="preserve">tenantAllowance, aiCreditAllowancePlatformValue, aiCreditAllowanceMspValue, aiCreditOverageRateCents, overageRateCents, tierCapabilities. 3 rows: Free / Growth / Pro</w:t>
            </w:r>
          </w:p>
        </w:tc>
      </w:tr>
    </w:tbl>
    <w:p>
      <w:pPr>
        <w:spacing w:after="120"/>
      </w:pPr>
      <w:r>
        <w:rPr>
          <w:sz w:val="22"/>
          <w:szCs w:val="22"/>
        </w:rPr>
        <w:t xml:space="preserve">Document Product and Platform Subscription Tier field lists are first-pass, built directly from the confirmed rate card — worth a quick sanity check with Replit against any existing partial implementation before this goes final, the way we did for the other four fields.</w:t>
      </w:r>
    </w:p>
    <w:p>
      <w:pPr>
        <w:pStyle w:val="Heading2"/>
        <w:spacing w:after="120" w:before="280"/>
      </w:pPr>
      <w:r>
        <w:rPr>
          <w:b/>
          <w:bCs/>
          <w:color w:val="0A2540"/>
          <w:sz w:val="24"/>
          <w:szCs w:val="24"/>
        </w:rPr>
        <w:t xml:space="preserve">Part 3 — Data-Driven Editor Architecture</w:t>
      </w:r>
    </w:p>
    <w:p>
      <w:pPr>
        <w:pStyle w:val="ListParagraph"/>
        <w:numPr>
          <w:ilvl w:val="0"/>
          <w:numId w:val="2"/>
        </w:numPr>
        <w:spacing w:after="80"/>
      </w:pPr>
      <w:r>
        <w:rPr>
          <w:sz w:val="22"/>
          <w:szCs w:val="22"/>
        </w:rPr>
        <w:t xml:space="preserve">One shared productTypeTemplates config (extends the existing productTypeConfig.ts pattern already proven by #3024) — each of the 7 types declares: core field defaults, an ordered list of typeAttributes fields with { key, label, kind, options? }, which action-bar buttons apply (Assign to Client, Project Template, Gen PDF, etc.), and allowed import/export fields.</w:t>
      </w:r>
    </w:p>
    <w:p>
      <w:pPr>
        <w:pStyle w:val="ListParagraph"/>
        <w:numPr>
          <w:ilvl w:val="0"/>
          <w:numId w:val="2"/>
        </w:numPr>
        <w:spacing w:after="80"/>
      </w:pPr>
      <w:r>
        <w:rPr>
          <w:sz w:val="22"/>
          <w:szCs w:val="22"/>
        </w:rPr>
        <w:t xml:space="preserve">ServiceEditor.tsx is rebuilt to read the detected type's template and render sections/fields generically — a field-kind-to-control mapping (text, currency, number, select, multiselect, jsonb-array via the existing ArrayEditor, seat-range, engine-picker) rather than one static JSX form with per-type conditionals threaded through it.</w:t>
      </w:r>
    </w:p>
    <w:p>
      <w:pPr>
        <w:pStyle w:val="ListParagraph"/>
        <w:numPr>
          <w:ilvl w:val="0"/>
          <w:numId w:val="2"/>
        </w:numPr>
        <w:spacing w:after="80"/>
      </w:pPr>
      <w:r>
        <w:rPr>
          <w:sz w:val="22"/>
          <w:szCs w:val="22"/>
        </w:rPr>
        <w:t xml:space="preserve">New/Edit/Download Template/Import JSON/Export JSON all consume the same template config, exactly as #3024 established — this part doesn't change, it extends to 7 types instead of 5.</w:t>
      </w:r>
    </w:p>
    <w:p>
      <w:pPr>
        <w:pStyle w:val="ListParagraph"/>
        <w:numPr>
          <w:ilvl w:val="0"/>
          <w:numId w:val="2"/>
        </w:numPr>
        <w:spacing w:after="80"/>
      </w:pPr>
      <w:r>
        <w:rPr>
          <w:sz w:val="22"/>
          <w:szCs w:val="22"/>
        </w:rPr>
        <w:t xml:space="preserve">Category tree, product list, and the three-panel IDE layout (CatalogCategoryTree / CatalogProductList / CatalogDetailPanel) are unaffected — this is a Detail Panel + schema change, not a page-layout change.</w:t>
      </w:r>
    </w:p>
    <w:p>
      <w:pPr>
        <w:pStyle w:val="Heading2"/>
        <w:spacing w:after="120" w:before="280"/>
      </w:pPr>
      <w:r>
        <w:rPr>
          <w:b/>
          <w:bCs/>
          <w:color w:val="0A2540"/>
          <w:sz w:val="24"/>
          <w:szCs w:val="24"/>
        </w:rPr>
        <w:t xml:space="preserve">Out of scope</w:t>
      </w:r>
    </w:p>
    <w:p>
      <w:pPr>
        <w:pStyle w:val="ListParagraph"/>
        <w:numPr>
          <w:ilvl w:val="0"/>
          <w:numId w:val="2"/>
        </w:numPr>
        <w:spacing w:after="80"/>
      </w:pPr>
      <w:r>
        <w:rPr>
          <w:sz w:val="22"/>
          <w:szCs w:val="22"/>
        </w:rPr>
        <w:t xml:space="preserve">The two flagged bugs (dead serviceType literal comparisons in Pricing.tsx/Services.tsx; Msp.tsx tierCapabilities type mismatch) — file separately.</w:t>
      </w:r>
    </w:p>
    <w:p>
      <w:pPr>
        <w:pStyle w:val="ListParagraph"/>
        <w:numPr>
          <w:ilvl w:val="0"/>
          <w:numId w:val="2"/>
        </w:numPr>
        <w:spacing w:after="80"/>
      </w:pPr>
      <w:r>
        <w:rPr>
          <w:sz w:val="22"/>
          <w:szCs w:val="22"/>
        </w:rPr>
        <w:t xml:space="preserve">MSP-side Sales Bundle Builder (#2690) — unaffected, separate commercial layer.</w:t>
      </w:r>
    </w:p>
    <w:p>
      <w:pPr>
        <w:pStyle w:val="ListParagraph"/>
        <w:numPr>
          <w:ilvl w:val="0"/>
          <w:numId w:val="2"/>
        </w:numPr>
        <w:spacing w:after="80"/>
      </w:pPr>
      <w:r>
        <w:rPr>
          <w:sz w:val="22"/>
          <w:szCs w:val="22"/>
        </w:rPr>
        <w:t xml:space="preserve">Monitor Check / Monitoring Package authoring (#2691/#2692) — unaffected.</w:t>
      </w:r>
    </w:p>
    <w:p>
      <w:pPr>
        <w:pStyle w:val="ListParagraph"/>
        <w:numPr>
          <w:ilvl w:val="0"/>
          <w:numId w:val="2"/>
        </w:numPr>
        <w:spacing w:after="80"/>
      </w:pPr>
      <w:r>
        <w:rPr>
          <w:sz w:val="22"/>
          <w:szCs w:val="22"/>
        </w:rPr>
        <w:t xml:space="preserve">Seeding real catalog data (actual Document Product copy, Platform Tier allowances, etc.) — configuration, done after the rebuild ships, same principle as the original v10 spec's config-vs-build split.</w:t>
      </w:r>
    </w:p>
    <w:p>
      <w:pPr>
        <w:pStyle w:val="Heading2"/>
        <w:spacing w:after="120" w:before="280"/>
      </w:pPr>
      <w:r>
        <w:rPr>
          <w:b/>
          <w:bCs/>
          <w:color w:val="0A2540"/>
          <w:sz w:val="24"/>
          <w:szCs w:val="24"/>
        </w:rPr>
        <w:t xml:space="preserve">Steps</w:t>
      </w:r>
    </w:p>
    <w:p>
      <w:pPr>
        <w:pStyle w:val="ListParagraph"/>
        <w:numPr>
          <w:ilvl w:val="0"/>
          <w:numId w:val="2"/>
        </w:numPr>
        <w:spacing w:after="80"/>
      </w:pPr>
      <w:r>
        <w:rPr>
          <w:sz w:val="22"/>
          <w:szCs w:val="22"/>
        </w:rPr>
        <w:t xml:space="preserve">Confirm Document Product / Platform Subscription Tier field lists against any existing partial implementation (quick Replit grep, same pattern as the last audit).</w:t>
      </w:r>
    </w:p>
    <w:p>
      <w:pPr>
        <w:pStyle w:val="ListParagraph"/>
        <w:numPr>
          <w:ilvl w:val="0"/>
          <w:numId w:val="2"/>
        </w:numPr>
        <w:spacing w:after="80"/>
      </w:pPr>
      <w:r>
        <w:rPr>
          <w:sz w:val="22"/>
          <w:szCs w:val="22"/>
        </w:rPr>
        <w:t xml:space="preserve">Drop and recreate the services table: core columns (table in Part 1) + typeAttributes jsonb. Drop service_script_sets and service_required_scripts tables entirely.</w:t>
      </w:r>
    </w:p>
    <w:p>
      <w:pPr>
        <w:pStyle w:val="ListParagraph"/>
        <w:numPr>
          <w:ilvl w:val="0"/>
          <w:numId w:val="2"/>
        </w:numPr>
        <w:spacing w:after="80"/>
      </w:pPr>
      <w:r>
        <w:rPr>
          <w:sz w:val="22"/>
          <w:szCs w:val="22"/>
        </w:rPr>
        <w:t xml:space="preserve">Update the 3 files reading tierCapabilities as a direct column (msp-entitlement.ts, msp-signup.ts, msp-plan-management.ts) to read from typeAttributes instead.</w:t>
      </w:r>
    </w:p>
    <w:p>
      <w:pPr>
        <w:pStyle w:val="ListParagraph"/>
        <w:numPr>
          <w:ilvl w:val="0"/>
          <w:numId w:val="2"/>
        </w:numPr>
        <w:spacing w:after="80"/>
      </w:pPr>
      <w:r>
        <w:rPr>
          <w:sz w:val="22"/>
          <w:szCs w:val="22"/>
        </w:rPr>
        <w:t xml:space="preserve">Rebuild productTypeConfig.ts as the 7-type template config (supersedes the existing 5-type version).</w:t>
      </w:r>
    </w:p>
    <w:p>
      <w:pPr>
        <w:pStyle w:val="ListParagraph"/>
        <w:numPr>
          <w:ilvl w:val="0"/>
          <w:numId w:val="2"/>
        </w:numPr>
        <w:spacing w:after="80"/>
      </w:pPr>
      <w:r>
        <w:rPr>
          <w:sz w:val="22"/>
          <w:szCs w:val="22"/>
        </w:rPr>
        <w:t xml:space="preserve">Rebuild ServiceEditor.tsx as a generic, template-driven renderer.</w:t>
      </w:r>
    </w:p>
    <w:p>
      <w:pPr>
        <w:pStyle w:val="ListParagraph"/>
        <w:numPr>
          <w:ilvl w:val="0"/>
          <w:numId w:val="2"/>
        </w:numPr>
        <w:spacing w:after="80"/>
      </w:pPr>
      <w:r>
        <w:rPr>
          <w:sz w:val="22"/>
          <w:szCs w:val="22"/>
        </w:rPr>
        <w:t xml:space="preserve">Update New-product type picker, Download Template, Import/Export JSON for all 7 types.</w:t>
      </w:r>
    </w:p>
    <w:p>
      <w:pPr>
        <w:pStyle w:val="ListParagraph"/>
        <w:numPr>
          <w:ilvl w:val="0"/>
          <w:numId w:val="2"/>
        </w:numPr>
        <w:spacing w:after="80"/>
      </w:pPr>
      <w:r>
        <w:rPr>
          <w:sz w:val="22"/>
          <w:szCs w:val="22"/>
        </w:rPr>
        <w:t xml:space="preserve">Re-seed the 12 Monitoring Tier rows, 3 Platform Subscription Tier rows, and Document Product catalog via the new Import JSON flow — not an automated migration, per the earlier decision to recreate rather than migrate.</w:t>
      </w:r>
    </w:p>
    <w:p>
      <w:pPr>
        <w:pStyle w:val="ListParagraph"/>
        <w:numPr>
          <w:ilvl w:val="0"/>
          <w:numId w:val="2"/>
        </w:numPr>
        <w:spacing w:after="80"/>
      </w:pPr>
      <w:r>
        <w:rPr>
          <w:sz w:val="22"/>
          <w:szCs w:val="22"/>
        </w:rPr>
        <w:t xml:space="preserve">Tests: each type's New flow produces correct core columns + typeAttributes shape; Import rejects fields outside a type's schema; Download Template round-trips through Import; msp-entitlement.ts gating still resolves correctly against typeAttributes.tierCapabilities.</w:t>
      </w:r>
    </w:p>
    <w:p>
      <w:pPr>
        <w:pStyle w:val="Heading2"/>
        <w:spacing w:after="120" w:before="280"/>
      </w:pPr>
      <w:r>
        <w:rPr>
          <w:b/>
          <w:bCs/>
          <w:color w:val="0A2540"/>
          <w:sz w:val="24"/>
          <w:szCs w:val="24"/>
        </w:rPr>
        <w:t xml:space="preserve">Relevant files</w:t>
      </w:r>
    </w:p>
    <w:p>
      <w:pPr>
        <w:pStyle w:val="ListParagraph"/>
        <w:numPr>
          <w:ilvl w:val="0"/>
          <w:numId w:val="2"/>
        </w:numPr>
        <w:spacing w:after="80"/>
      </w:pPr>
      <w:r>
        <w:rPr>
          <w:rFonts w:ascii="Consolas" w:cs="Consolas" w:eastAsia="Consolas" w:hAnsi="Consolas"/>
          <w:color w:val="444441"/>
          <w:sz w:val="20"/>
          <w:szCs w:val="20"/>
        </w:rPr>
        <w:t xml:space="preserve">lib/db/src/schema/index.ts</w:t>
      </w:r>
    </w:p>
    <w:p>
      <w:pPr>
        <w:pStyle w:val="ListParagraph"/>
        <w:numPr>
          <w:ilvl w:val="0"/>
          <w:numId w:val="2"/>
        </w:numPr>
        <w:spacing w:after="80"/>
      </w:pPr>
      <w:r>
        <w:rPr>
          <w:rFonts w:ascii="Consolas" w:cs="Consolas" w:eastAsia="Consolas" w:hAnsi="Consolas"/>
          <w:color w:val="444441"/>
          <w:sz w:val="20"/>
          <w:szCs w:val="20"/>
        </w:rPr>
        <w:t xml:space="preserve">artifacts/admin-panel/src/lib/productTypeConfig.ts</w:t>
      </w:r>
    </w:p>
    <w:p>
      <w:pPr>
        <w:pStyle w:val="ListParagraph"/>
        <w:numPr>
          <w:ilvl w:val="0"/>
          <w:numId w:val="2"/>
        </w:numPr>
        <w:spacing w:after="80"/>
      </w:pPr>
      <w:r>
        <w:rPr>
          <w:rFonts w:ascii="Consolas" w:cs="Consolas" w:eastAsia="Consolas" w:hAnsi="Consolas"/>
          <w:color w:val="444441"/>
          <w:sz w:val="20"/>
          <w:szCs w:val="20"/>
        </w:rPr>
        <w:t xml:space="preserve">artifacts/admin-panel/src/components/services/ServiceEditor.tsx</w:t>
      </w:r>
    </w:p>
    <w:p>
      <w:pPr>
        <w:pStyle w:val="ListParagraph"/>
        <w:numPr>
          <w:ilvl w:val="0"/>
          <w:numId w:val="2"/>
        </w:numPr>
        <w:spacing w:after="80"/>
      </w:pPr>
      <w:r>
        <w:rPr>
          <w:rFonts w:ascii="Consolas" w:cs="Consolas" w:eastAsia="Consolas" w:hAnsi="Consolas"/>
          <w:color w:val="444441"/>
          <w:sz w:val="20"/>
          <w:szCs w:val="20"/>
        </w:rPr>
        <w:t xml:space="preserve">artifacts/admin-panel/src/components/services/CatalogProductList.tsx, CatalogQuickJump.tsx, ServicesList.tsx, ServiceEditorSidePanel.tsx</w:t>
      </w:r>
    </w:p>
    <w:p>
      <w:pPr>
        <w:pStyle w:val="ListParagraph"/>
        <w:numPr>
          <w:ilvl w:val="0"/>
          <w:numId w:val="2"/>
        </w:numPr>
        <w:spacing w:after="80"/>
      </w:pPr>
      <w:r>
        <w:rPr>
          <w:rFonts w:ascii="Consolas" w:cs="Consolas" w:eastAsia="Consolas" w:hAnsi="Consolas"/>
          <w:color w:val="444441"/>
          <w:sz w:val="20"/>
          <w:szCs w:val="20"/>
        </w:rPr>
        <w:t xml:space="preserve">artifacts/api-server/src/routes/admin-services.ts, public-services.ts, portal.ts, quiz-quick-win.ts</w:t>
      </w:r>
    </w:p>
    <w:p>
      <w:pPr>
        <w:pStyle w:val="ListParagraph"/>
        <w:numPr>
          <w:ilvl w:val="0"/>
          <w:numId w:val="2"/>
        </w:numPr>
        <w:spacing w:after="80"/>
      </w:pPr>
      <w:r>
        <w:rPr>
          <w:rFonts w:ascii="Consolas" w:cs="Consolas" w:eastAsia="Consolas" w:hAnsi="Consolas"/>
          <w:color w:val="444441"/>
          <w:sz w:val="20"/>
          <w:szCs w:val="20"/>
        </w:rPr>
        <w:t xml:space="preserve">artifacts/api-server/src/lib/msp-entitlement.ts, resolve-fulfillment.ts</w:t>
      </w:r>
    </w:p>
    <w:p>
      <w:pPr>
        <w:pStyle w:val="ListParagraph"/>
        <w:numPr>
          <w:ilvl w:val="0"/>
          <w:numId w:val="2"/>
        </w:numPr>
        <w:spacing w:after="80"/>
      </w:pPr>
      <w:r>
        <w:rPr>
          <w:rFonts w:ascii="Consolas" w:cs="Consolas" w:eastAsia="Consolas" w:hAnsi="Consolas"/>
          <w:color w:val="444441"/>
          <w:sz w:val="20"/>
          <w:szCs w:val="20"/>
        </w:rPr>
        <w:t xml:space="preserve">artifacts/api-server/src/routes/msp-signup.ts, msp-plan-management.ts</w:t>
      </w:r>
    </w:p>
    <w:p>
      <w:pPr>
        <w:pBdr>
          <w:bottom w:val="single" w:color="CCCCCC" w:sz="6"/>
        </w:pBdr>
        <w:spacing w:after="200" w:before="200"/>
      </w:pPr>
    </w:p>
    <w:p>
      <w:pPr>
        <w:spacing w:after="120"/>
      </w:pPr>
      <w:r>
        <w:rPr>
          <w:sz w:val="22"/>
          <w:szCs w:val="22"/>
        </w:rPr>
        <w:t xml:space="preserve">Reference: follows the same What &amp; Why / Steps / Relevant files format as the rest of v10. Supersedes services-page-rebuild-spec.docx entirely — that document's Monitoring Tier field definitions are carried forward here (Revision 2 shape, 12 rows), everything else in it is now covered by Part 1 and Part 2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2026-07-12T05:17:36.607Z</dcterms:created>
  <dcterms:modified xsi:type="dcterms:W3CDTF">2026-07-12T05:17:36.624Z</dcterms:modified>
</cp:coreProperties>
</file>

<file path=docProps/custom.xml><?xml version="1.0" encoding="utf-8"?>
<Properties xmlns="http://schemas.openxmlformats.org/officeDocument/2006/custom-properties" xmlns:vt="http://schemas.openxmlformats.org/officeDocument/2006/docPropsVTypes"/>
</file>