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78D4"/>
          <w:sz w:val="44"/>
          <w:szCs w:val="44"/>
        </w:rPr>
        <w:t xml:space="preserve">Shane McCaw Consulting</w:t>
      </w:r>
    </w:p>
    <w:p>
      <w:pPr>
        <w:spacing w:after="40"/>
      </w:pPr>
      <w:r>
        <w:rPr>
          <w:b/>
          <w:bCs/>
          <w:sz w:val="32"/>
          <w:szCs w:val="32"/>
        </w:rPr>
        <w:t xml:space="preserve">Website Rebuild Specification — v1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Full-rebuild handoff for Replit / Claude Code. No backward compatibility required — existing site is unreleased.</w:t>
      </w:r>
    </w:p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20"/>
      </w:pPr>
      <w:r>
        <w:t xml:space="preserve">This spec governs a full rebuild of the public marketing website (artifacts/shane-mccaw-consulting). It replaces the current site's linear Assessments → Projects → Retainer model and its CRM-coupled checkout with a two-funnel, monitoring-first model that hosts checkout natively on the website.</w:t>
      </w:r>
    </w:p>
    <w:p>
      <w:pPr>
        <w:spacing w:after="120"/>
      </w:pPr>
      <w:r>
        <w:t xml:space="preserve">This is a frontend/IA/content rebuild, not a backend rebuild. It assumes the MSP Portal (v10 spec) backend engines already exist and are being independently hardened in a parallel workstream. Where this spec depends on backend behavior, it states the assumption explicitly (Section 8) rather than re-specifying it.</w:t>
      </w:r>
    </w:p>
    <w:p>
      <w:pPr>
        <w:pStyle w:val="Heading1"/>
        <w:spacing w:after="200" w:before="400"/>
      </w:pPr>
      <w:r>
        <w:t xml:space="preserve">2. Locked Architectural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website, two funnels: direct client and MSP partner. Single brand — Shane's personal authority is the trust layer for both funnels. The Portal itself is never a public-facing brand; it is white-labeled infrastructure behind the consulting brand.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Funnel model (Option C): Free Assessment → Monitoring Subscription (primary product) → Projects/Retainers as signal-triggered outcomes, not shelf items browsed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sells to both audiences: direct clients buy it as an ongoing oversight product; MSPs buy the white-labeled platform (tenant-capped subscription tiers) to resell to their own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is native to the website for everything that does not require prior telemetry. No mid-flow handoff to another app (/portal/ or /crm/) before payment completes.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 gate is the real product boundary — not price, not recurring-vs-one-time. Anything requiring existing signal data (a generated SOW, a scoped remediation) is Portal-only and cannot be self-checked-out on the website.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Credits are an internal cost-control mechanism only. Never marketed, priced, or displayed publicly anywhere.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model: M365 admin consent triggers signal collection independent of payment. Payment gates delivery of the resulting document/deliverable, not the underlying data collection. (Backend wiring for this tracked separately — see Section 8.)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public-facing claims must be true today, not aspirational. No unverified metrics, no compliance postures that haven't been formally adopted, no capabilities not yet built. Personal/founder credentials (already true) may carry trust-signal weight anywhere a badge or claim would otherwise be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is not FedRAMP authorized and does not interact with GCC/GCC-High tenants. This must never appear as a platform capability anywhere on the site. Shane's personal experience in federal/GCC-High/HIPAA/SBU environments may appear as a consulting bio credential only, clearly separated from platform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product or service data is ever hardcoded in website frontend code — names, descriptions, prices, tiers, seat/tenant allowances, and feature lists are always fetched live from the Product Catalog at render time. See Section 7.8 for the explicit rule and rationale.</w:t>
      </w:r>
    </w:p>
    <w:p>
      <w:pPr>
        <w:pStyle w:val="Heading1"/>
        <w:spacing w:after="200" w:before="400"/>
      </w:pPr>
      <w:r>
        <w:t xml:space="preserve">3. Brand &amp; Content Principles</w:t>
      </w:r>
    </w:p>
    <w:p>
      <w:pPr>
        <w:pStyle w:val="Heading2"/>
        <w:spacing w:after="150" w:before="300"/>
      </w:pPr>
      <w:r>
        <w:t xml:space="preserve">3.1 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Short, high-impact sentences. No hype adjectives (“world-class,” “revolutionary,” “cutting-edge”).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Credibility from specificity, not superlatives — named award, named agency, named outcome beats generic claims every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page's primary CTA ladders back to Assessment or Monitoring. No page is allowed to dead-end without a next step toward the funnel.</w:t>
      </w:r>
    </w:p>
    <w:p>
      <w:pPr>
        <w:pStyle w:val="Heading2"/>
        <w:spacing w:after="150" w:before="300"/>
      </w:pPr>
      <w:r>
        <w:t xml:space="preserve">3.2 Trust Strip — Locked Copy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Bio / credibility line (personal, consulting):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2026 Forum Award Winner — architected the first large federal agency Copilot deployment at NASA; the resulting framework was distributed government-wide by the White House as the federal standard for secure Copilot adoption. Deep experience across GCC/GCC-High, HIPAA, and SBU environments.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Platform trust strip (product, commercial-only — authority positioning, no unverifiable badges):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Built and operated by the architect who deploys it. Every check, every finding, every alert — designed by the same standard that secured a federal Copilot rollout.</w:t>
      </w:r>
    </w:p>
    <w:p>
      <w:pPr>
        <w:spacing w:after="120"/>
      </w:pPr>
      <w:r>
        <w:rPr>
          <w:i/>
          <w:iCs/>
          <w:color w:val="AA0000"/>
        </w:rPr>
        <w:t xml:space="preserve">Do not add compliance badges (SOC 2, HIPAA-as-platform-claim, etc.) or usage metrics (“X tenants monitored”) until formally documented and true. This is a standing rule for all future copy, not just launch content.</w:t>
      </w:r>
    </w:p>
    <w:p>
      <w:pPr>
        <w:pStyle w:val="Heading1"/>
        <w:spacing w:after="200" w:before="400"/>
      </w:pPr>
      <w:r>
        <w:t xml:space="preserve">4. Sitemap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3250"/>
      </w:tblGrid>
      <w:tr>
        <w:tc>
          <w:tcPr>
            <w:tcW w:type="dxa" w:w="24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Funnel</w:t>
            </w:r>
          </w:p>
        </w:tc>
        <w:tc>
          <w:tcPr>
            <w:tcW w:type="dxa" w:w="22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Commerce?</w:t>
            </w:r>
          </w:p>
        </w:tc>
        <w:tc>
          <w:tcPr>
            <w:tcW w:type="dxa" w:w="32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Fork — 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Hero fork by audience, not product. Primary CTA: Start Assessment.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/ 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Wizard entry point. Existing quiz engine, redesigned results CTA.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/monitoring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Tenant-size tiered. Primary product.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/retainers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Secondary placement — no homepage real estate.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/projects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— routes to Assessment/Monitoring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Persuasion only. Requires prior telemetry (SOW-gated).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/msp (or /partners)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 — net new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Tier selection, tenant-capped pricing, native Stripe.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— native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Product-agnostic. Handles Assessment / Monitoring / Retainer / MSP tier.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/services/* (8 verticals)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— feeder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Content/SEO only. CTA routes to Assessment.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/resources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Blog / articles.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/contact, /book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calendar booking.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Cut entirely: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/checkout (legacy)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 (dead redirect)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/customer-command-center</w:t>
      </w:r>
    </w:p>
    <w:p>
      <w:pPr>
        <w:spacing w:after="80"/>
      </w:pPr>
      <w:r>
        <w:rPr>
          <w:b/>
          <w:bCs/>
        </w:rPr>
        <w:t xml:space="preserve">Kept, CTAs repointed: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/lp/:slug landing pages — still useful for paid traffic, just repoint CTAs to the new funnel.</w:t>
      </w:r>
    </w:p>
    <w:p>
      <w:pPr>
        <w:pStyle w:val="Heading1"/>
        <w:spacing w:after="200" w:before="400"/>
      </w:pPr>
      <w:r>
        <w:t xml:space="preserve">5. Page-by-Page Specifications</w:t>
      </w:r>
    </w:p>
    <w:p>
      <w:pPr>
        <w:pStyle w:val="Heading2"/>
        <w:spacing w:after="150" w:before="300"/>
      </w:pPr>
      <w:r>
        <w:t xml:space="preserve">5.1 Home</w:t>
      </w:r>
    </w:p>
    <w:p>
      <w:pPr>
        <w:spacing w:after="120"/>
      </w:pPr>
      <w:r>
        <w:t xml:space="preserve">Hero forks by audience, not product. Direct-client path is visually dominant; MSP path is present but subordinate. Assessment is the primary CTA — not Monitoring — because it is the lowest-friction ask for cold traffic.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Hero: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Eyebrow: NASA's M365 Architecture Standard, Applied to Your Tenant / Headline: Microsoft 365 governance built the way mission-critical systems are built. / Subhead: 30 years architecting Microsoft 365 at NASA scale — now protecting your tenant with the same rigor. / Primary CTA: Start Your Free Assessment. / Secondary link: Already know you need ongoing oversight? See Monitoring plans.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Audience fork (quiet, below hero):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Are you an MSP? Modernize your service line, white-labeled under your brand. Partner with the Platform.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Funnel narrative strip: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1. Assess — Free, no commitment. Real findings from your actual tenant, not a generic checklist. 2. Monitor — Findings don't expire. Continuous oversight keeps your posture current. 3. Act — Projects and retainers happen only when the data says they should — never a sales pitch first.</w:t>
      </w:r>
    </w:p>
    <w:p>
      <w:pPr>
        <w:spacing w:after="120"/>
      </w:pPr>
      <w:r>
        <w:t xml:space="preserve">Trust strip: per Section 3.2, exact copy locked.</w:t>
      </w:r>
    </w:p>
    <w:p>
      <w:pPr>
        <w:pStyle w:val="Heading2"/>
        <w:spacing w:after="150" w:before="300"/>
      </w:pPr>
      <w:r>
        <w:t xml:space="preserve">5.2 /assessment</w:t>
      </w:r>
    </w:p>
    <w:p>
      <w:pPr>
        <w:spacing w:after="120"/>
      </w:pPr>
      <w:r>
        <w:t xml:space="preserve">Existing wizard/quiz engine (8 quizzes, AI chat) is retained as-is mechanically. What changes is the results-page destination.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CTA changes from “book a call” / “another assessment” to: primary — “Keep this current — Start Monitoring”; secondary — “Discuss my results” (→ /contact).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page must state plainly that the assessment is a snapshot; Monitoring keeps it live. This is the single most important copy change on the site — it's the hinge the whole funnel model depends on.</w:t>
      </w:r>
    </w:p>
    <w:p>
      <w:pPr>
        <w:pStyle w:val="Heading2"/>
        <w:spacing w:after="150" w:before="300"/>
      </w:pPr>
      <w:r>
        <w:t xml:space="preserve">5.3 /monitoring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Header: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Eyebrow: Your Assessment Was a Snapshot. This Keeps It Current. / Headline: Continuous Microsoft 365 oversight, not a once-a-year checkup. / Subhead: The same signals your Assessment found — tracked, scored, and alerted on, every day.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How it works: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Connect once (consent, not credentials) → We watch continuously → You act only when something actually changes.</w:t>
      </w:r>
    </w:p>
    <w:p>
      <w:pPr>
        <w:spacing w:after="150"/>
      </w:pPr>
      <w:r>
        <w:rPr>
          <w:b/>
          <w:bCs/>
          <w:color w:val="AA0000"/>
        </w:rPr>
        <w:t xml:space="preserve">UPDATED: the pricing-model rebuild (Task #3024, Section 8) confirms Monitoring will use tenant-size tiers after all — Micro (1–25), SMB (26–100), Mid-Market (101–500), Enterprise (500+) — as four separate Product rows sharing one categoryPath, priced via pricePerUserMonth with a seatCountFloor. This is the exact same pattern Retainers already use (three rows, one categoryPath — see 5.4). Build /monitoring the same way: fetch every Product under the Monitoring categoryPath, render one card per row ordered by sortOrder, display pricePerUserMonth × seat range. Do not build this against the current Basic/Enhanced/Premium rows — those are being deleted and recreated as tenant-size tiers once Task #3024 ships (Section 8).</w:t>
      </w:r>
    </w:p>
    <w:p>
      <w:pPr>
        <w:spacing w:after="120"/>
      </w:pPr>
      <w:r>
        <w:t xml:space="preserve">Tier table pulled live from the Product Catalog, scoped by categoryPath, once Task #3024 lands and the tenant-size tier rows exist (Section 8) — no hardcoded prices or tier names in copy (per Section 7.8). Each card displays tenantTierLabel, seat range (seatMin–seatMax), pricePerUserMonth, and includedFeatures[]. CTA: Start Monitoring → native checkout.</w:t>
      </w:r>
    </w:p>
    <w:p>
      <w:pPr>
        <w:pStyle w:val="Heading2"/>
        <w:spacing w:after="150" w:before="300"/>
      </w:pPr>
      <w:r>
        <w:t xml:space="preserve">5.4 /retainers</w:t>
      </w:r>
    </w:p>
    <w:p>
      <w:pPr>
        <w:spacing w:after="120"/>
      </w:pPr>
      <w:r>
        <w:t xml:space="preserve">Self-checkout, same native checkout mechanism as Monitoring. No homepage placement — reached via nav, quiz upsell (for repeat/warm visitors), or direct link. Positioned as fractional-hours engagement for orgs that already know they want ongoing hands-on support, distinct from Monitoring's automated oversight.</w:t>
      </w:r>
    </w:p>
    <w:p>
      <w:pPr>
        <w:pStyle w:val="Heading2"/>
        <w:spacing w:after="150" w:before="300"/>
      </w:pPr>
      <w:r>
        <w:t xml:space="preserve">5.5 /projects</w:t>
      </w:r>
    </w:p>
    <w:p>
      <w:pPr>
        <w:spacing w:after="120"/>
      </w:pPr>
      <w:r>
        <w:t xml:space="preserve">Not a commerce page. Major Projects require a SOW generated from real tenant telemetry — the product literally does not exist to price or scope until that telemetry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function: education + credibility (case-study style content, no named real clients per copyright/testimonial rules) — explains what Major Projects are and why they start with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CTA throughout: “Start with an Assessment” or “Start Monitoring” — never “Request a Quote” or “Buy.”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Blueprints, Remediation Scripts, other micro offers, and AI Credits are never listed here or anywhere public — Portal-only, surfaced only once eligible.</w:t>
      </w:r>
    </w:p>
    <w:p>
      <w:pPr>
        <w:pStyle w:val="Heading2"/>
        <w:spacing w:after="150" w:before="300"/>
      </w:pPr>
      <w:r>
        <w:t xml:space="preserve">5.6 /msp (Partner with the Platform) — net new</w:t>
      </w:r>
    </w:p>
    <w:p>
      <w:pPr>
        <w:spacing w:after="120"/>
      </w:pPr>
      <w:r>
        <w:t xml:space="preserve">This is the one page with no current equivalent on the site or anywhere self-service today. It must be built as a real pricing/tier-selection page with native checkout — not a lead-capture form — per the locked decision that MSP self-signup is self-service, not sales-gated.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Pitch: white-labeled modernization platform, sold under Shane's authority. Tiers capped by managed-tenant count (e.g. “up to 15 managed tenants included”), consistent with the platform's included-allowance + metered-overage billing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CTA: tier selection → native Stripe checkout on this page — no redirect off the website before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include the platform MSA/DPA clickwrap acceptance as part of this page's flow (see Section 8 — backend gate must exist before this page's checkout can be considered complete).</w:t>
      </w:r>
    </w:p>
    <w:p>
      <w:pPr>
        <w:pStyle w:val="Heading2"/>
        <w:spacing w:after="150" w:before="300"/>
      </w:pPr>
      <w:r>
        <w:t xml:space="preserve">5.7 /checkout</w:t>
      </w:r>
    </w:p>
    <w:p>
      <w:pPr>
        <w:spacing w:after="120"/>
      </w:pPr>
      <w:r>
        <w:t xml:space="preserve">Single, product-agnostic native checkout used by Assessment (paid tier), Monitoring, Retainers, and MSP signup. Guest capture (name/email) for unauthenticated visitors, consent step, payment, account provisioning — all without leaving the website mid-flow.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Sequencing: browse/select → guest info → M365 admin consent (required to proceed) → payment → provisioning. Consent alone triggers signal collection; payment gates delivery of the resulting document/deliverable (see Section 2, data model decision).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Customer-facing clickwrap acceptance (terms/agreement) must occur somewhere in this flow — currently absent from the self-service path entirely (Section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handoff: account created, session issued, single clean redirect into Portal. Website's responsibility ends here.</w:t>
      </w:r>
    </w:p>
    <w:p>
      <w:pPr>
        <w:pStyle w:val="Heading2"/>
        <w:spacing w:after="150" w:before="300"/>
      </w:pPr>
      <w:r>
        <w:t xml:space="preserve">5.8 /services/* (8 verticals)</w:t>
      </w:r>
    </w:p>
    <w:p>
      <w:pPr>
        <w:spacing w:after="120"/>
      </w:pPr>
      <w:r>
        <w:t xml:space="preserve">Microsoft 365, Copilot &amp; AI, SharePoint, Power Platform, Governance, Cloud Migration, Security Hardening, M365 Training. Reclassified from commerce pages to content/SEO pages. Each page's job is credibility + routing, not selling — single CTA to /assessment throughout.</w:t>
      </w:r>
    </w:p>
    <w:p>
      <w:pPr>
        <w:pStyle w:val="Heading2"/>
        <w:spacing w:after="150" w:before="300"/>
      </w:pPr>
      <w:r>
        <w:t xml:space="preserve">5.9 /resources, /contact, /book</w:t>
      </w:r>
    </w:p>
    <w:p>
      <w:pPr>
        <w:spacing w:after="120"/>
      </w:pPr>
      <w:r>
        <w:t xml:space="preserve">Largely unchanged in function. /resources remains the article/blog system. /contact and /book remain the live-calendar booking flow. Retained as low-risk, low-priority rebuild items.</w:t>
      </w:r>
    </w:p>
    <w:p>
      <w:pPr>
        <w:pStyle w:val="Heading1"/>
        <w:spacing w:after="200" w:before="400"/>
      </w:pPr>
      <w:r>
        <w:t xml:space="preserve">6. CTA → Endpoint Mapping</w:t>
      </w:r>
    </w:p>
    <w:p>
      <w:pPr>
        <w:spacing w:after="120"/>
      </w:pPr>
      <w:r>
        <w:t xml:space="preserve">Reflects confirmed current backend state as of this spec's date. Endpoints marked “net new” do not exist yet and are frontend work only — they call existing backend machinery confirmed already built.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50"/>
      </w:tblGrid>
      <w:tr>
        <w:tc>
          <w:tcPr>
            <w:tcW w:type="dxa" w:w="30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33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Free Assessment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 wizard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 — unchanged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Monitoring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 (product: monitoring tier)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Native checkout exists on website; success_url currently redirects off-site — needs repoint (Section 8)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Retainer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 (product: retainer)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mechanism as above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Partner with the Platform (MSP)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/msp tier selection → native checkout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new frontend — calls existing /api/msp/signup/tiers, /api/msp/signup/start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Quiz results — primary CTA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/monitoring (was: /contact)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Copy/routing change only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Major Project page CTA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 or /monitoring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checkout — routing only, by design</w:t>
            </w:r>
          </w:p>
        </w:tc>
      </w:tr>
    </w:tbl>
    <w:p>
      <w:pPr>
        <w:pStyle w:val="Heading2"/>
        <w:spacing w:after="150" w:before="300"/>
      </w:pPr>
      <w:r>
        <w:t xml:space="preserve">6.1 Fulfillment Type Mapping</w:t>
      </w:r>
    </w:p>
    <w:p>
      <w:pPr>
        <w:spacing w:after="120"/>
      </w:pPr>
      <w:r>
        <w:t xml:space="preserve">Every self-checkout product must declare its fulfillmentTypeKey and recurring flag (per Task #2706, Fulfillment Engine) so the website's /checkout page selects the correct Stripe mode. This is the only fulfillment-related detail the website owns.</w:t>
      </w:r>
    </w:p>
    <w:p>
      <w:pPr>
        <w:spacing w:after="150"/>
      </w:pPr>
      <w:r>
        <w:rPr>
          <w:b/>
          <w:bCs/>
          <w:color w:val="AA0000"/>
        </w:rPr>
        <w:t xml:space="preserve">Assessment and Monitoring keys are VERIFIED against live database values. Retainer and MSP Platform Tier rows are UNRESOLVED — no retainer or MSP-subscription fulfillmentTypeKey exists in the database today. Monitoring's pricing model depends on Task #3024 (Section 8): target is confirmed as tenant-size tiers (Micro/SMB/Mid-Market/Enterprise, four Product rows per categoryPath), not the current Basic/Enhanced/Premium rows — fulfillmentTypeKey itself (monitoring) is unaffected by that task and safe to build against now.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1400"/>
        <w:gridCol w:w="2050"/>
      </w:tblGrid>
      <w:tr>
        <w:tc>
          <w:tcPr>
            <w:tcW w:type="dxa" w:w="27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Self-checkout product</w:t>
            </w:r>
          </w:p>
        </w:tc>
        <w:tc>
          <w:tcPr>
            <w:tcW w:type="dxa" w:w="32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fulfillmentTypeKey</w:t>
            </w:r>
          </w:p>
        </w:tc>
        <w:tc>
          <w:tcPr>
            <w:tcW w:type="dxa" w:w="14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Recurring</w:t>
            </w:r>
          </w:p>
        </w:tc>
        <w:tc>
          <w:tcPr>
            <w:tcW w:type="dxa" w:w="20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Stripe mode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Assessment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 (VERIFIED)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 Stripe (price = 0)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Paid Assessment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 (VERIFIED)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One-time payment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 Subscription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 (VERIFIED key; pricing model BLOCKED — see above)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 (pending pricing rebuild)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Retainer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UNRESOLVED — no key found in DB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(assumed)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MSP Platform Tier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UNRESOLVED — no key found in DB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(assumed)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A0000" w:sz="6" w:space="8"/>
        </w:pBdr>
        <w:spacing w:after="200"/>
        <w:ind w:left="360"/>
      </w:pPr>
      <w:r>
        <w:rPr>
          <w:b/>
          <w:bCs/>
          <w:i/>
          <w:iCs/>
        </w:rPr>
        <w:t xml:space="preserve">Boundary statement: the website's role ends at initiating the correct checkout mode for the product's fulfillment type. resolve_fulfillment and all downstream engine/signal execution happen entirely server-side via the existing shared mechanism (Task #2706). The website never calls, displays, or depends on engine or signal output directly — that would be scope creep against the locked “website ends at acquisition” principle.</w:t>
      </w:r>
    </w:p>
    <w:p>
      <w:pPr>
        <w:pStyle w:val="Heading1"/>
        <w:spacing w:after="200" w:before="400"/>
      </w:pPr>
      <w:r>
        <w:t xml:space="preserve">7. Additional Requirements</w:t>
      </w:r>
    </w:p>
    <w:p>
      <w:pPr>
        <w:pStyle w:val="Heading2"/>
        <w:spacing w:after="150" w:before="300"/>
      </w:pPr>
      <w:r>
        <w:t xml:space="preserve">7.1 Legal Pages</w:t>
      </w:r>
    </w:p>
    <w:p>
      <w:pPr>
        <w:spacing w:after="120"/>
      </w:pPr>
      <w:r>
        <w:t xml:space="preserve">The website is a live commerce surface and needs its own Terms of Service and Privacy Policy — separate from Portal's Trust page (#2699), which covers the platform, not the marketing site's own data collection (forms, analytics, cookies). Standard static pages, no clickwrap interaction required here (passive disclosure, consistent with Portal's Trust page pattern).</w:t>
      </w:r>
    </w:p>
    <w:p>
      <w:pPr>
        <w:pStyle w:val="Heading2"/>
        <w:spacing w:after="150" w:before="300"/>
      </w:pPr>
      <w:r>
        <w:t xml:space="preserve">7.2 Error States</w:t>
      </w:r>
    </w:p>
    <w:p>
      <w:pPr>
        <w:spacing w:after="120"/>
      </w:pPr>
      <w:r>
        <w:t xml:space="preserve">Checkout is the core function of this rebuild — failure paths must be defined, not discovered in QA: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declined at the Microsoft screen — clear message, option to retry, does not lose guest info already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fails or is abandoned — return to checkout with prior selections intact; per the locked data model, consent already granted is not lost or re-requested.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Session/guest-capture expires mid-flow — clear restart, no silent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 slug/product not found (e.g. stale link) — friendly 404 routing back to the relevant section (Assessment/Monitoring/MSP), never a raw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tier fetch fails (API error on /msp page) — graceful fallback messaging, not a blank page.</w:t>
      </w:r>
    </w:p>
    <w:p>
      <w:pPr>
        <w:pStyle w:val="Heading2"/>
        <w:spacing w:after="150" w:before="300"/>
      </w:pPr>
      <w:r>
        <w:t xml:space="preserve">7.3 MSP Portal Integration Contract</w:t>
      </w:r>
    </w:p>
    <w:p>
      <w:pPr>
        <w:spacing w:after="120"/>
      </w:pPr>
      <w:r>
        <w:t xml:space="preserve">For the net-new /msp checkout (Section 5.6): exact success payload shape, redirect URL format, and mspSlug resolution must be confirmed against the live /api/msp/signup/start and webhook-driven provisioning flow before building — not assumed. This is a confirm-before-build item, not a re-spec of already-built backend behavior.</w:t>
      </w:r>
    </w:p>
    <w:p>
      <w:pPr>
        <w:pStyle w:val="Heading2"/>
        <w:spacing w:after="150" w:before="300"/>
      </w:pPr>
      <w:r>
        <w:t xml:space="preserve">7.4 Assessment → Monitoring Conversion Logic</w:t>
      </w:r>
    </w:p>
    <w:p>
      <w:pPr>
        <w:spacing w:after="120"/>
      </w:pPr>
      <w:r>
        <w:t xml:space="preserve">UPDATED: with tenant-size tiers confirmed via Task #3024 (Section 5.3, Section 8), this logic is buildable once that task lands: map the assessment's detected seat count to the Product row whose seatMin–seatMax range contains it, and route the results-page CTA to that specific Monitoring tier rather than a generic /monitoring link. Until Task #3024 ships, route generically to /monitoring.</w:t>
      </w:r>
    </w:p>
    <w:p>
      <w:pPr>
        <w:pStyle w:val="Heading2"/>
        <w:spacing w:after="150" w:before="300"/>
      </w:pPr>
      <w:r>
        <w:t xml:space="preserve">7.5 Analytics &amp; Attribution</w:t>
      </w:r>
    </w:p>
    <w:p>
      <w:pPr>
        <w:spacing w:after="120"/>
      </w:pPr>
      <w:r>
        <w:t xml:space="preserve">Scope to funnel-event tracking, not a full attribution platform: assessment started/completed, checkout started/completed (by product), MSP signup started/completed. Sufficient to measure the funnel this spec is built around; deeper attribution is a V2 item if warranted by volume.</w:t>
      </w:r>
    </w:p>
    <w:p>
      <w:pPr>
        <w:pStyle w:val="Heading2"/>
        <w:spacing w:after="150" w:before="300"/>
      </w:pPr>
      <w:r>
        <w:t xml:space="preserve">7.6 SEO Architecture</w:t>
      </w:r>
    </w:p>
    <w:p>
      <w:pPr>
        <w:spacing w:after="120"/>
      </w:pPr>
      <w:r>
        <w:t xml:space="preserve">The 8 service-vertical pages (Section 5.8) exist specifically for SEO — standard meta/OG conventions per page, sitemap.xml, and structured data (Organization + Service schema) are expected. No further SEO tooling required for v1.</w:t>
      </w:r>
    </w:p>
    <w:p>
      <w:pPr>
        <w:pStyle w:val="Heading2"/>
        <w:spacing w:after="150" w:before="300"/>
      </w:pPr>
      <w:r>
        <w:t xml:space="preserve">7.7 Brand System Reference</w:t>
      </w:r>
    </w:p>
    <w:p>
      <w:pPr>
        <w:spacing w:after="120"/>
      </w:pPr>
      <w:r>
        <w:t xml:space="preserve">A minimal shared style reference (color tokens, type scale, spacing, button/card patterns already established on the current site) should be extracted and reused across all rebuilt pages so Replit doesn't reinvent UI per page. Not a full design system — a reference sheet.</w:t>
      </w:r>
    </w:p>
    <w:p>
      <w:pPr>
        <w:pStyle w:val="Heading2"/>
        <w:spacing w:after="150" w:before="300"/>
      </w:pPr>
      <w:r>
        <w:t xml:space="preserve">7.8 No Hardcoded Catalog Data</w:t>
      </w:r>
    </w:p>
    <w:p>
      <w:pPr>
        <w:spacing w:after="120"/>
      </w:pPr>
      <w:r>
        <w:t xml:space="preserve">Every page that displays service or product information — Monitoring tiers, Retainer options, MSP platform tiers, Assessment listings, and any /services/* content referencing specific offerings, pricing, or features — must fetch that data live from the Product Catalog (GET /api/services or equivalent) at render time. No static array, JSON file, or literal string embedded in a component may substitute for a live catalog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Covers: product/tier names, descriptions, prices, seat/tenant allowances, feature and deliverable lists, fulfillmentTypeKey, and visibility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not cover: editorial/narrative copy that isn't catalog data — hero headlines, the funnel narrative strip, trust-strip statements, and similar fixed content remain static, authored content. This rule targets product data specifically, not all website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Rationale: this is the same failure mode as the seed-script overwrite bug (Section 8) relocated to the frontend — hardcoded product data becomes a second source of truth that silently drifts from the real catalog the moment an admin edits a price or tier in Admin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check: no literal price strings, tier names, or feature-list arrays should exist in component source files outside of data actually returned by a catalog API response. This is verifiable by code review — grep for currency symbols, tier names, or seat-count numbers in .tsx files outside of API response handling.</w:t>
      </w:r>
    </w:p>
    <w:p>
      <w:pPr>
        <w:pStyle w:val="Heading1"/>
        <w:spacing w:after="200" w:before="400"/>
      </w:pPr>
      <w:r>
        <w:t xml:space="preserve">8. Dependencies — Tracked in Parallel Workstream</w:t>
      </w:r>
    </w:p>
    <w:p>
      <w:pPr>
        <w:spacing w:after="120"/>
      </w:pPr>
      <w:r>
        <w:t xml:space="preserve">Status as of this spec's latest revision. Items marked CLOSED are verified with file:line evidence from the parallel v10-fix workstream and can be built against directly.</w:t>
      </w:r>
    </w:p>
    <w:p>
      <w:pPr>
        <w:spacing w:after="80"/>
      </w:pPr>
      <w:r>
        <w:rPr>
          <w:b/>
          <w:bCs/>
        </w:rPr>
        <w:t xml:space="preserve">Closed — build against directly: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signup clickwrap/legal gate — CLOSED, verified on both MSP signup and customer checkout paths.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script overwrite bug — CLOSED. Admin-edited catalog data now survives server restarts.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Catalog visibility flags (isPublic / visibility) — mechanism CLOSED. Data-level correctness (which records are actually flagged private) lands with the product seed JSON, tracked separately — confirm before launch, not a build blocker.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checkout API (POST /api/portal/checkout/create-session) — real, working, creates genuine Stripe sessions. Not in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MSP signup API (/api/msp/signup/tiers, /api/msp/signup/start) — real, working, already used successfully by /portal/signup today.</w:t>
      </w:r>
    </w:p>
    <w:p>
      <w:pPr>
        <w:spacing w:after="80"/>
      </w:pPr>
      <w:r>
        <w:rPr>
          <w:b/>
          <w:bCs/>
        </w:rPr>
        <w:t xml:space="preserve">Still open: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checkout staying on-site: CONFIRMED UNCHANGED. success_url in POST /api/portal/checkout/create-session is still hardcoded to /portal/onboarding/success, still resolving to legacy CRM code (OnboardingSuccess.tsx). Per this spec's Section 5.7 design, the fix is a Portal-side task, not a marketing-site frontend task. Useful precedent found: POST /api/portal/offers/:id/checkout already redirects correctly to a Portal-native destination (/customer-home) — the fix for create-session should follow that same existing pattern, not invent a new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self-signup page: CONFIRMED UNCHANGED. Exhaustive grep of the marketing site codebase found zero links to MSP signup anywhere. Still fully net-new frontend work per Section 5.6, calling the existing, working /api/msp/signup/*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Retainer and MSP Platform Tier fulfillmentTypeKey values: NEWLY IDENTIFIED GAP. No fulfillment_type_key value for either product type exists in the live database — only assessment, document_product, and monitoring are in use today. This means these two products likely don't yet exist as proper catalog records, or exist without a fulfillment type assigned. Must be resolved in Admin Panel/catalog before /checkout can support Retainer or MSP Platform Tier purchases (see Section 6.1).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authoring against fulfillment events: fulfillment.&lt;key&gt; events (e.g. fulfillment.monitoring) fire correctly on purchase and will trigger any subscribed workflow, but are not listed in the Workflow Start Node's KNOWN_EVENTS dropdown — a workflow author must currently type the event name manually via a custom-text fallback, with no payload field hints. Does not block the website (event firing already works); relevant only if you plan to build Admin Panel workflows reacting to these purchases soon. Admin Panel UX item, not a website spec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per-seat/per-tenant pricing model: TRACKED as Task #3024 (“Content &amp; Offers → Services: Type-Aware Product Catalog Editor”). Rebuilds the Admin Panel catalog editor to be type-aware, adding a Monitoring Tier product type with tenantTierLabel, seatMin, seatMax, pricePerUserMonth, seatCountFloor, includedEngines[], includedFeatures[], and minMspPlanTier (MSP-plan gating — Portal-internal, not relevant to the public website). Confirms the target model IS tenant-size tiers (Micro/SMB/Mid-Market/Enterprise) as four Product rows sharing one categoryPath — same pattern as existing Retainer plans. The current Basic/Enhanced/Premium rows will be deleted and manually recreated as tenant-size tiers once Task #3024 ships — do not build /monitoring against those rows. Website work: build /monitoring's positioning content now; the tier-card fetch logic (categoryPath query, same pattern as /retainers) can be built in parallel since the fetch pattern is already known, but cannot go live with real data until Task #3024 lands and the catalog rows are recreated.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Credit Pack records incorrectly public: DATA ERROR, being corrected directly in Admin Panel (not a website spec item). The three ai-credit-pack-* records were found isPublic: true / visibility: public in a live catalog export — contradicts the locked decision that AI Credits are never a marketed product (Section 2). Confirm these are set to isPublic: false before launch; the website itself never needs to reference them by design, so no page content changes here.</w:t>
      </w:r>
    </w:p>
    <w:p>
      <w:pPr>
        <w:spacing w:after="80"/>
      </w:pPr>
      <w:r>
        <w:rPr>
          <w:b/>
          <w:bCs/>
        </w:rPr>
        <w:t xml:space="preserve">Parallel, not blocking: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M365 consent/App Registration flow (/api/consent/callback): CONFIRMED UNCHANGED. Solid code covering the OAuth round-trip, DB insert, credential validation, and revocation path — but no dedicated test file exists and it has never been exercised against a live Azure AD tenant (requires an external service principal, outside the automated test harness). This only affects the post-payment onboarding step, not checkout itself, and should not hold up starting the site rebuild. Verify against a real tenant once test credentials are available, in parallel with the frontend build.</w:t>
      </w:r>
    </w:p>
    <w:p>
      <w:pPr>
        <w:pStyle w:val="Heading1"/>
        <w:spacing w:after="200" w:before="400"/>
      </w:pPr>
      <w:r>
        <w:t xml:space="preserve">9. Open Items for V2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Pricing/catalog content itself (actual tier prices, seat-count floors) — configuration, not build-blocking; pulled live from catalog by this spec's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HIPAA/SOC 2 platform compliance posture — explicitly not claimed anywhere until formally documented (Task #2714).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MSP-to-platform billing shape refinement (platform-access fee vs. wholesale-resell split) — does not block website copy since no public price table commits to a specific structure.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2026-07-12T02:37:26.277Z</dcterms:created>
  <dcterms:modified xsi:type="dcterms:W3CDTF">2026-07-12T02:37:26.292Z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