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pPr>
      <w:bookmarkStart w:id="1" w:name="p0001_r0001"/>
      <w:r>
        <w:drawing>
          <wp:anchor distT="0" distB="0" distL="0" distR="0" simplePos="0" relativeHeight="1" behindDoc="0" locked="0" layoutInCell="1" allowOverlap="1">
            <wp:simplePos x="0" y="0"/>
            <wp:positionH relativeFrom="page">
              <wp:posOffset>3638855</wp:posOffset>
            </wp:positionH>
            <wp:positionV relativeFrom="page">
              <wp:posOffset>329086</wp:posOffset>
            </wp:positionV>
            <wp:extent cx="210286" cy="137119"/>
            <wp:effectExtent l="0" t="0" r="0" b="0"/>
            <wp:wrapNone/>
            <wp:docPr id="1" name="Region 1"/>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16"/>
                          </w:rPr>
                          <w:t>356</w:t>
                        </w:r>
                      </w:p>
                    </w:txbxContent>
                  </wps:txbx>
                  <wps:bodyPr lIns="0" tIns="0" rIns="0" bIns="0"/>
                </wps:wsp>
              </a:graphicData>
            </a:graphic>
          </wp:anchor>
        </w:drawing>
      </w:r>
      <w:bookmarkEnd w:id="1"/>
      <w:bookmarkStart w:id="2" w:name="p0001_r0002"/>
      <w:r>
        <w:drawing>
          <wp:anchor distT="0" distB="0" distL="0" distR="0" simplePos="0" relativeHeight="2" behindDoc="0" locked="0" layoutInCell="1" allowOverlap="1">
            <wp:simplePos x="0" y="0"/>
            <wp:positionH relativeFrom="page">
              <wp:posOffset>539428</wp:posOffset>
            </wp:positionH>
            <wp:positionV relativeFrom="page">
              <wp:posOffset>534765</wp:posOffset>
            </wp:positionV>
            <wp:extent cx="6409140" cy="12700"/>
            <wp:effectExtent l="0" t="0" r="0" b="0"/>
            <wp:wrapNone/>
            <wp:docPr id="2" name="Region 2"/>
            <wp:cNvGraphicFramePr/>
            <a:graphic xmlns:a="http://schemas.openxmlformats.org/drawingml/2006/main">
              <a:graphicData uri="http://schemas.microsoft.com/office/word/2010/wordprocessingShape">
                <wps:wsp>
                  <wps:cNvSpPr/>
                  <wps:spPr>
                    <a:xfrm rot="0"/>
                    <a:prstGeom prst="rect">
                      <a:avLst/>
                    </a:prstGeom>
                    <a:solidFill>
                      <a:srgbClr val="000000"/>
                    </a:solidFill>
                    <a:ln w="12700">
                      <a:noFill/>
                    </a:ln>
                  </wps:spPr>
                </wps:wsp>
              </a:graphicData>
            </a:graphic>
          </wp:anchor>
        </w:drawing>
      </w:r>
      <w:bookmarkEnd w:id="2"/>
      <w:bookmarkStart w:id="3" w:name="p0001_r0003"/>
      <w:r>
        <w:drawing>
          <wp:anchor distT="0" distB="0" distL="0" distR="0" simplePos="0" relativeHeight="3" behindDoc="0" locked="0" layoutInCell="1" allowOverlap="1">
            <wp:simplePos x="0" y="0"/>
            <wp:positionH relativeFrom="page">
              <wp:posOffset>3273141</wp:posOffset>
            </wp:positionH>
            <wp:positionV relativeFrom="page">
              <wp:posOffset>658172</wp:posOffset>
            </wp:positionV>
            <wp:extent cx="928000" cy="114266"/>
            <wp:effectExtent l="0" t="0" r="0" b="0"/>
            <wp:wrapNone/>
            <wp:docPr id="3" name="Region 3"/>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14"/>
                          </w:rPr>
                          <w:t>Yu-Hun Jeong, et al.</w:t>
                        </w:r>
                      </w:p>
                    </w:txbxContent>
                  </wps:txbx>
                  <wps:bodyPr lIns="0" tIns="0" rIns="0" bIns="0"/>
                </wps:wsp>
              </a:graphicData>
            </a:graphic>
          </wp:anchor>
        </w:drawing>
      </w:r>
      <w:bookmarkEnd w:id="3"/>
      <w:bookmarkStart w:id="4" w:name="p0001_r0004"/>
      <w:r>
        <w:drawing>
          <wp:anchor distT="0" distB="0" distL="0" distR="0" simplePos="0" relativeHeight="4" behindDoc="0" locked="0" layoutInCell="1" allowOverlap="1">
            <wp:simplePos x="0" y="0"/>
            <wp:positionH relativeFrom="page">
              <wp:posOffset>539428</wp:posOffset>
            </wp:positionH>
            <wp:positionV relativeFrom="page">
              <wp:posOffset>1042106</wp:posOffset>
            </wp:positionV>
            <wp:extent cx="3113141" cy="1261497"/>
            <wp:effectExtent l="0" t="0" r="0" b="0"/>
            <wp:wrapNone/>
            <wp:docPr id="4" name="Region 4"/>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14"/>
                          </w:rPr>
                          <w:t>Elevated ESR and C-반응 protein prompted a switch to teicoplanin.
After 8주 of antibiotics, ESR fell to 61 mm/h and
C-반응 protein normalized. MRI at postoperative 4주 showed no
SSA; back pain improved, and the patient was discharged
(Fig. 2). At final follow-up 8개월 postoperatively, ESR was
22 mm/h and C-반응 protein was &lt;0.1 mg/dl, with no recurrent
inflammation or back pain.</w:t>
                        </w:r>
                      </w:p>
                    </w:txbxContent>
                  </wps:txbx>
                  <wps:bodyPr lIns="0" tIns="0" rIns="0" bIns="0"/>
                </wps:wsp>
              </a:graphicData>
            </a:graphic>
          </wp:anchor>
        </w:drawing>
      </w:r>
      <w:bookmarkEnd w:id="4"/>
      <w:bookmarkStart w:id="5" w:name="p0001_r0005"/>
      <w:r>
        <w:drawing>
          <wp:anchor distT="0" distB="0" distL="0" distR="0" simplePos="0" relativeHeight="5" behindDoc="0" locked="0" layoutInCell="1" allowOverlap="1">
            <wp:simplePos x="0" y="0"/>
            <wp:positionH relativeFrom="page">
              <wp:posOffset>3853712</wp:posOffset>
            </wp:positionH>
            <wp:positionV relativeFrom="page">
              <wp:posOffset>1042106</wp:posOffset>
            </wp:positionV>
            <wp:extent cx="3103999" cy="2221331"/>
            <wp:effectExtent l="0" t="0" r="0" b="0"/>
            <wp:wrapNone/>
            <wp:docPr id="5" name="Region 5"/>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10"/>
                          </w:rPr>
                          <w:t>SSA requires emergency treatment. Even in extensive SSA, excellent outcomes can be achieved
with limited surgical drainage and broad-spectrum intravenous antibiotics unless compartment
syndrome is present.⁸) Drainage can be performed through an anterior approach when the abscess
is anterior to the dura, or through a posterior approach with laminectomy when it is posterior.⁹)
When vertebral osteomyelitis is present, intravenous antibiotics should be given for at least
8주; otherwise, for at least 4주. In this case, extensive SSA from 제6흉추-제3요추 associated with
pyogenic spondylodiscitis at 제5-6 흉추 was confirmed by magnetic resonance imaging.
At 제8 흉추, SSA occupied the greatest proportion of the spinal canal and caused the most severe
neural compression; thus, this level was selected for laminectomy.</w:t>
                        </w:r>
                      </w:p>
                    </w:txbxContent>
                  </wps:txbx>
                  <wps:bodyPr lIns="0" tIns="0" rIns="0" bIns="0"/>
                </wps:wsp>
              </a:graphicData>
            </a:graphic>
          </wp:anchor>
        </w:drawing>
      </w:r>
      <w:bookmarkEnd w:id="5"/>
      <w:bookmarkStart w:id="6" w:name="p0001_r0006"/>
      <w:r>
        <w:drawing>
          <wp:anchor distT="0" distB="0" distL="0" distR="0" simplePos="0" relativeHeight="6" behindDoc="0" locked="0" layoutInCell="1" allowOverlap="1">
            <wp:simplePos x="0" y="0"/>
            <wp:positionH relativeFrom="page">
              <wp:posOffset>1837713</wp:posOffset>
            </wp:positionH>
            <wp:positionV relativeFrom="page">
              <wp:posOffset>2573270</wp:posOffset>
            </wp:positionV>
            <wp:extent cx="745143" cy="178255"/>
            <wp:effectExtent l="0" t="0" r="0" b="0"/>
            <wp:wrapNone/>
            <wp:docPr id="6" name="Region 6"/>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22"/>
                          </w:rPr>
                          <w:t>Discussion</w:t>
                        </w:r>
                      </w:p>
                    </w:txbxContent>
                  </wps:txbx>
                  <wps:bodyPr lIns="0" tIns="0" rIns="0" bIns="0"/>
                </wps:wsp>
              </a:graphicData>
            </a:graphic>
          </wp:anchor>
        </w:drawing>
      </w:r>
      <w:bookmarkEnd w:id="6"/>
      <w:bookmarkStart w:id="7" w:name="p0001_r0007"/>
      <w:r>
        <w:drawing>
          <wp:anchor distT="0" distB="0" distL="0" distR="0" simplePos="0" relativeHeight="7" behindDoc="0" locked="0" layoutInCell="1" allowOverlap="1">
            <wp:simplePos x="0" y="0"/>
            <wp:positionH relativeFrom="page">
              <wp:posOffset>539428</wp:posOffset>
            </wp:positionH>
            <wp:positionV relativeFrom="page">
              <wp:posOffset>2952633</wp:posOffset>
            </wp:positionV>
            <wp:extent cx="3108570" cy="2011082"/>
            <wp:effectExtent l="0" t="0" r="0" b="0"/>
            <wp:wrapNone/>
            <wp:docPr id="7" name="Region 7"/>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10"/>
                          </w:rPr>
                          <w:t>SSA is rarer than spinal epidural abscess. Like epidural abscess, its initial symptoms are
nonspecific, and delayed diagnosis can lead to neurologic deficits and death. According to
Velissaris et al.²), 65예 had been reported by 2009년. Subsequent case reports have also been
very rare, and no study has summarized the exact number reported to date.
Staphylococci are known to be the most common causative organisms. In this case,
multidrug-resistant E. faecium was identified, representing an atypical organism compared with
previous reports. The lumbar region is the most common site, and prevalence is highest between
60세 and 70세.</w:t>
                        </w:r>
                      </w:p>
                    </w:txbxContent>
                  </wps:txbx>
                  <wps:bodyPr lIns="0" tIns="0" rIns="0" bIns="0"/>
                </wps:wsp>
              </a:graphicData>
            </a:graphic>
          </wp:anchor>
        </w:drawing>
      </w:r>
      <w:bookmarkEnd w:id="7"/>
      <w:bookmarkStart w:id="8" w:name="p0001_r0008"/>
      <w:r>
        <w:drawing>
          <wp:anchor distT="0" distB="0" distL="0" distR="0" simplePos="0" relativeHeight="8" behindDoc="0" locked="0" layoutInCell="1" allowOverlap="1">
            <wp:simplePos x="0" y="0"/>
            <wp:positionH relativeFrom="page">
              <wp:posOffset>3858284</wp:posOffset>
            </wp:positionH>
            <wp:positionV relativeFrom="page">
              <wp:posOffset>3322855</wp:posOffset>
            </wp:positionV>
            <wp:extent cx="3085713" cy="676455"/>
            <wp:effectExtent l="0" t="0" r="0" b="0"/>
            <wp:wrapNone/>
            <wp:docPr id="8" name="Region 8"/>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10"/>
                          </w:rPr>
                          <w:t>Accordingly, curettage and anterior fusion at 제5-6흉추, laminectomy at 제8 흉추, and SSA drainage
after dural incision were performed, followed by dural closure. Symptoms improved with
continued intravenous antibiotic therapy.</w:t>
                        </w:r>
                      </w:p>
                    </w:txbxContent>
                  </wps:txbx>
                  <wps:bodyPr lIns="0" tIns="0" rIns="0" bIns="0"/>
                </wps:wsp>
              </a:graphicData>
            </a:graphic>
          </wp:anchor>
        </w:drawing>
      </w:r>
      <w:bookmarkEnd w:id="8"/>
      <w:bookmarkStart w:id="9" w:name="p0001_r0009"/>
      <w:r>
        <w:drawing>
          <wp:anchor distT="0" distB="0" distL="0" distR="0" simplePos="0" relativeHeight="9" behindDoc="0" locked="0" layoutInCell="1" allowOverlap="1">
            <wp:simplePos x="0" y="0"/>
            <wp:positionH relativeFrom="page">
              <wp:posOffset>3862855</wp:posOffset>
            </wp:positionH>
            <wp:positionV relativeFrom="page">
              <wp:posOffset>4086152</wp:posOffset>
            </wp:positionV>
            <wp:extent cx="3076570" cy="694737"/>
            <wp:effectExtent l="0" t="0" r="0" b="0"/>
            <wp:wrapNone/>
            <wp:docPr id="9" name="Region 9"/>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10"/>
                          </w:rPr>
                          <w:t>The authors encountered extensive SSA associated with infectious thoracic spondylodiscitis
in a patient presenting with nonspecific symptoms. Successful treatment was achieved with
appropriate decompression, drainage, and intravenous antibiotics; thus, this case is reported
with a literature review.</w:t>
                        </w:r>
                      </w:p>
                    </w:txbxContent>
                  </wps:txbx>
                  <wps:bodyPr lIns="0" tIns="0" rIns="0" bIns="0"/>
                </wps:wsp>
              </a:graphicData>
            </a:graphic>
          </wp:anchor>
        </w:drawing>
      </w:r>
      <w:bookmarkEnd w:id="9"/>
      <w:bookmarkStart w:id="10" w:name="p0001_r0010"/>
      <w:r>
        <w:drawing>
          <wp:anchor distT="0" distB="0" distL="0" distR="0" simplePos="0" relativeHeight="10" behindDoc="0" locked="0" layoutInCell="1" allowOverlap="1">
            <wp:simplePos x="0" y="0"/>
            <wp:positionH relativeFrom="page">
              <wp:posOffset>539428</wp:posOffset>
            </wp:positionH>
            <wp:positionV relativeFrom="page">
              <wp:posOffset>5041416</wp:posOffset>
            </wp:positionV>
            <wp:extent cx="3108570" cy="1060388"/>
            <wp:effectExtent l="0" t="0" r="0" b="0"/>
            <wp:wrapNone/>
            <wp:docPr id="10" name="Region 10"/>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10"/>
                          </w:rPr>
                          <w:t>The pathogenesis of SSA is broadly classified into three routes: hematogenous spread,
iatrogenic spread (spinal puncture, discography, or prior surgery), and contiguous spread.³,⁴)
In this case, the organisms from blood culture and intraoperative culture differed; therefore,
contiguous spread following local infection due to acupuncture, rather than hematogenous
spread, was considered the mechanism.</w:t>
                        </w:r>
                      </w:p>
                    </w:txbxContent>
                  </wps:txbx>
                  <wps:bodyPr lIns="0" tIns="0" rIns="0" bIns="0"/>
                </wps:wsp>
              </a:graphicData>
            </a:graphic>
          </wp:anchor>
        </w:drawing>
      </w:r>
      <w:bookmarkEnd w:id="10"/>
      <w:bookmarkStart w:id="11" w:name="p0001_r0011"/>
      <w:r>
        <w:drawing>
          <wp:anchor distT="0" distB="0" distL="0" distR="0" simplePos="0" relativeHeight="11" behindDoc="0" locked="0" layoutInCell="1" allowOverlap="1">
            <wp:simplePos x="0" y="0"/>
            <wp:positionH relativeFrom="page">
              <wp:posOffset>4306284</wp:posOffset>
            </wp:positionH>
            <wp:positionV relativeFrom="page">
              <wp:posOffset>5059698</wp:posOffset>
            </wp:positionV>
            <wp:extent cx="2185142" cy="182826"/>
            <wp:effectExtent l="0" t="0" r="0" b="0"/>
            <wp:wrapNone/>
            <wp:docPr id="11" name="Region 11"/>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22"/>
                          </w:rPr>
                          <w:t>CONFLICTS OF INTEREST</w:t>
                        </w:r>
                      </w:p>
                    </w:txbxContent>
                  </wps:txbx>
                  <wps:bodyPr lIns="0" tIns="0" rIns="0" bIns="0"/>
                </wps:wsp>
              </a:graphicData>
            </a:graphic>
          </wp:anchor>
        </w:drawing>
      </w:r>
      <w:bookmarkEnd w:id="11"/>
      <w:bookmarkStart w:id="12" w:name="p0001_r0012"/>
      <w:r>
        <w:drawing>
          <wp:anchor distT="0" distB="0" distL="0" distR="0" simplePos="0" relativeHeight="12" behindDoc="0" locked="0" layoutInCell="1" allowOverlap="1">
            <wp:simplePos x="0" y="0"/>
            <wp:positionH relativeFrom="page">
              <wp:posOffset>3858284</wp:posOffset>
            </wp:positionH>
            <wp:positionV relativeFrom="page">
              <wp:posOffset>5434491</wp:posOffset>
            </wp:positionV>
            <wp:extent cx="1846856" cy="127978"/>
            <wp:effectExtent l="0" t="0" r="0" b="0"/>
            <wp:wrapNone/>
            <wp:docPr id="12" name="Region 12"/>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14"/>
                          </w:rPr>
                          <w:t>The authors have nothing to disclose.</w:t>
                        </w:r>
                      </w:p>
                    </w:txbxContent>
                  </wps:txbx>
                  <wps:bodyPr lIns="0" tIns="0" rIns="0" bIns="0"/>
                </wps:wsp>
              </a:graphicData>
            </a:graphic>
          </wp:anchor>
        </w:drawing>
      </w:r>
      <w:bookmarkEnd w:id="12"/>
      <w:bookmarkStart w:id="13" w:name="p0001_r0013"/>
      <w:r>
        <w:drawing>
          <wp:anchor distT="0" distB="0" distL="0" distR="0" simplePos="0" relativeHeight="13" behindDoc="0" locked="0" layoutInCell="1" allowOverlap="1">
            <wp:simplePos x="0" y="0"/>
            <wp:positionH relativeFrom="page">
              <wp:posOffset>4818283</wp:posOffset>
            </wp:positionH>
            <wp:positionV relativeFrom="page">
              <wp:posOffset>5822995</wp:posOffset>
            </wp:positionV>
            <wp:extent cx="1243428" cy="187396"/>
            <wp:effectExtent l="0" t="0" r="0" b="0"/>
            <wp:wrapNone/>
            <wp:docPr id="13" name="Region 13"/>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22"/>
                          </w:rPr>
                          <w:t>REFERENCES</w:t>
                        </w:r>
                      </w:p>
                    </w:txbxContent>
                  </wps:txbx>
                  <wps:bodyPr lIns="0" tIns="0" rIns="0" bIns="0"/>
                </wps:wsp>
              </a:graphicData>
            </a:graphic>
          </wp:anchor>
        </w:drawing>
      </w:r>
      <w:bookmarkEnd w:id="13"/>
      <w:bookmarkStart w:id="14" w:name="p0001_r0014"/>
      <w:r>
        <w:drawing>
          <wp:anchor distT="0" distB="0" distL="0" distR="0" simplePos="0" relativeHeight="14" behindDoc="0" locked="0" layoutInCell="1" allowOverlap="1">
            <wp:simplePos x="0" y="0"/>
            <wp:positionH relativeFrom="page">
              <wp:posOffset>544000</wp:posOffset>
            </wp:positionH>
            <wp:positionV relativeFrom="page">
              <wp:posOffset>6184076</wp:posOffset>
            </wp:positionV>
            <wp:extent cx="3103999" cy="2029364"/>
            <wp:effectExtent l="0" t="0" r="0" b="0"/>
            <wp:wrapNone/>
            <wp:docPr id="14" name="Region 14"/>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10"/>
                          </w:rPr>
                          <w:t>According to Bartels et al.⁵), symptoms of SSA include fever, low back pain, paralysis, and
urinary dysfunction, but early diagnosis is often difficult because symptoms are nonspecific.
The duration of symptoms also varies from 1일 to 1년. Chronic symptoms occur in 20% of patients,
and the present patient also had chronic symptoms. Akhaddar et al.⁶) reported that patients with
chronic SSA tend to have nonspecific symptoms. Elevated white blood cell count, erythrocyte
sedimentation rate, and C-반응 protein have been reported, although these tests are not highly
sensitive. In this case, all three were elevated.</w:t>
                        </w:r>
                      </w:p>
                    </w:txbxContent>
                  </wps:txbx>
                  <wps:bodyPr lIns="0" tIns="0" rIns="0" bIns="0"/>
                </wps:wsp>
              </a:graphicData>
            </a:graphic>
          </wp:anchor>
        </w:drawing>
      </w:r>
      <w:bookmarkEnd w:id="14"/>
      <w:bookmarkStart w:id="15" w:name="p0001_r0015"/>
      <w:r>
        <w:drawing>
          <wp:anchor distT="0" distB="0" distL="0" distR="0" simplePos="0" relativeHeight="15" behindDoc="0" locked="0" layoutInCell="1" allowOverlap="1">
            <wp:simplePos x="0" y="0"/>
            <wp:positionH relativeFrom="page">
              <wp:posOffset>3913141</wp:posOffset>
            </wp:positionH>
            <wp:positionV relativeFrom="page">
              <wp:posOffset>6202358</wp:posOffset>
            </wp:positionV>
            <wp:extent cx="3021713" cy="470776"/>
            <wp:effectExtent l="0" t="0" r="0" b="0"/>
            <wp:wrapNone/>
            <wp:docPr id="15" name="Region 15"/>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14"/>
                          </w:rPr>
                          <w:t>1. Park JS, Kwon H, Cho YB, et al. Lumbar spinal epidural and
   subdural abscess after acupuncture: a case report. J Korean
   Orthorp Assoc. 2000;35:181-4.</w:t>
                        </w:r>
                      </w:p>
                    </w:txbxContent>
                  </wps:txbx>
                  <wps:bodyPr lIns="0" tIns="0" rIns="0" bIns="0"/>
                </wps:wsp>
              </a:graphicData>
            </a:graphic>
          </wp:anchor>
        </w:drawing>
      </w:r>
      <w:bookmarkEnd w:id="15"/>
      <w:bookmarkStart w:id="16" w:name="p0001_r0016"/>
      <w:r>
        <w:drawing>
          <wp:anchor distT="0" distB="0" distL="0" distR="0" simplePos="0" relativeHeight="16" behindDoc="0" locked="0" layoutInCell="1" allowOverlap="1">
            <wp:simplePos x="0" y="0"/>
            <wp:positionH relativeFrom="page">
              <wp:posOffset>3913141</wp:posOffset>
            </wp:positionH>
            <wp:positionV relativeFrom="page">
              <wp:posOffset>6764547</wp:posOffset>
            </wp:positionV>
            <wp:extent cx="3030856" cy="479917"/>
            <wp:effectExtent l="0" t="0" r="0" b="0"/>
            <wp:wrapNone/>
            <wp:docPr id="16" name="Region 16"/>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14"/>
                          </w:rPr>
                          <w:t>2. Velissaris D, Aretha D, Fligou F, Filos KS. Spinal subdural
   staphylococcus aureus abscess: case report and review of the
   literature. World J Emerg Surg. 2009;4:31.</w:t>
                        </w:r>
                      </w:p>
                    </w:txbxContent>
                  </wps:txbx>
                  <wps:bodyPr lIns="0" tIns="0" rIns="0" bIns="0"/>
                </wps:wsp>
              </a:graphicData>
            </a:graphic>
          </wp:anchor>
        </w:drawing>
      </w:r>
      <w:bookmarkEnd w:id="16"/>
      <w:bookmarkStart w:id="17" w:name="p0001_r0017"/>
      <w:r>
        <w:drawing>
          <wp:anchor distT="0" distB="0" distL="0" distR="0" simplePos="0" relativeHeight="17" behindDoc="0" locked="0" layoutInCell="1" allowOverlap="1">
            <wp:simplePos x="0" y="0"/>
            <wp:positionH relativeFrom="page">
              <wp:posOffset>539428</wp:posOffset>
            </wp:positionH>
            <wp:positionV relativeFrom="page">
              <wp:posOffset>8281999</wp:posOffset>
            </wp:positionV>
            <wp:extent cx="3373713" cy="1220361"/>
            <wp:effectExtent l="0" t="0" r="0" b="0"/>
            <wp:wrapNone/>
            <wp:docPr id="17" name="Region 17"/>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10"/>
                          </w:rPr>
                          <w:t>Contrast-enhanced magnetic resonance imaging is the most accurate diagnostic tool, showing
high signal intensity on T2, low signal intensity on T1, and peripheral high signal intensity after
contrast enhancement.⁷)
The differential diagnosis includes intradural spinal tumors. In such cases, high signal intensity
on diffusion-weighted magnetic resonance imaging suggests SSA rather than a tumor.</w:t>
                        </w:r>
                      </w:p>
                    </w:txbxContent>
                  </wps:txbx>
                  <wps:bodyPr lIns="0" tIns="0" rIns="0" bIns="0"/>
                </wps:wsp>
              </a:graphicData>
            </a:graphic>
          </wp:anchor>
        </w:drawing>
      </w:r>
      <w:bookmarkEnd w:id="17"/>
      <w:bookmarkStart w:id="18" w:name="p0001_r0018"/>
      <w:r>
        <w:drawing>
          <wp:anchor distT="0" distB="0" distL="0" distR="0" simplePos="0" relativeHeight="18" behindDoc="0" locked="0" layoutInCell="1" allowOverlap="1">
            <wp:simplePos x="0" y="0"/>
            <wp:positionH relativeFrom="page">
              <wp:posOffset>3913141</wp:posOffset>
            </wp:positionH>
            <wp:positionV relativeFrom="page">
              <wp:posOffset>7335877</wp:posOffset>
            </wp:positionV>
            <wp:extent cx="3026284" cy="475347"/>
            <wp:effectExtent l="0" t="0" r="0" b="0"/>
            <wp:wrapNone/>
            <wp:docPr id="18" name="Region 18"/>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14"/>
                          </w:rPr>
                          <w:t>3. Vural M, Arslantaş A, Adapinar B, et al. Spinal subdural
   staphylococcus aureus abscess: case report and review of the
   literature. Acta Neurol Scand. 2005;112:343-6.</w:t>
                        </w:r>
                      </w:p>
                    </w:txbxContent>
                  </wps:txbx>
                  <wps:bodyPr lIns="0" tIns="0" rIns="0" bIns="0"/>
                </wps:wsp>
              </a:graphicData>
            </a:graphic>
          </wp:anchor>
        </w:drawing>
      </w:r>
      <w:bookmarkEnd w:id="18"/>
      <w:bookmarkStart w:id="19" w:name="p0001_r0019"/>
      <w:r>
        <w:drawing>
          <wp:anchor distT="0" distB="0" distL="0" distR="0" simplePos="0" relativeHeight="19" behindDoc="0" locked="0" layoutInCell="1" allowOverlap="1">
            <wp:simplePos x="0" y="0"/>
            <wp:positionH relativeFrom="page">
              <wp:posOffset>3913141</wp:posOffset>
            </wp:positionH>
            <wp:positionV relativeFrom="page">
              <wp:posOffset>7898066</wp:posOffset>
            </wp:positionV>
            <wp:extent cx="3035427" cy="484488"/>
            <wp:effectExtent l="0" t="0" r="0" b="0"/>
            <wp:wrapNone/>
            <wp:docPr id="19" name="Region 19"/>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14"/>
                          </w:rPr>
                          <w:t>4. Kraeutler MJ, Bozzay JD, Walker MP, John K. Spinal subdu-
   ral abscess following epidural steroid injection. J Neurosurg
   Spine. 2015;22:90-3.</w:t>
                        </w:r>
                      </w:p>
                    </w:txbxContent>
                  </wps:txbx>
                  <wps:bodyPr lIns="0" tIns="0" rIns="0" bIns="0"/>
                </wps:wsp>
              </a:graphicData>
            </a:graphic>
          </wp:anchor>
        </w:drawing>
      </w:r>
      <w:bookmarkEnd w:id="19"/>
      <w:bookmarkStart w:id="20" w:name="p0001_r0020"/>
      <w:r>
        <w:drawing>
          <wp:anchor distT="0" distB="0" distL="0" distR="0" simplePos="0" relativeHeight="20" behindDoc="0" locked="0" layoutInCell="1" allowOverlap="1">
            <wp:simplePos x="0" y="0"/>
            <wp:positionH relativeFrom="page">
              <wp:posOffset>3913141</wp:posOffset>
            </wp:positionH>
            <wp:positionV relativeFrom="page">
              <wp:posOffset>8464825</wp:posOffset>
            </wp:positionV>
            <wp:extent cx="3021713" cy="356510"/>
            <wp:effectExtent l="0" t="0" r="0" b="0"/>
            <wp:wrapNone/>
            <wp:docPr id="20" name="Region 20"/>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14"/>
                          </w:rPr>
                          <w:t>5. Bartels RH, de Jong TR, Grotenhuis JA. Spinal subdural ab-
   scess. Case report. J Neurosurg. 1992;76:307-11.</w:t>
                        </w:r>
                      </w:p>
                    </w:txbxContent>
                  </wps:txbx>
                  <wps:bodyPr lIns="0" tIns="0" rIns="0" bIns="0"/>
                </wps:wsp>
              </a:graphicData>
            </a:graphic>
          </wp:anchor>
        </w:drawing>
      </w:r>
      <w:bookmarkEnd w:id="20"/>
      <w:bookmarkStart w:id="21" w:name="p0001_r0021"/>
      <w:r>
        <w:drawing>
          <wp:anchor distT="0" distB="0" distL="0" distR="0" simplePos="0" relativeHeight="21" behindDoc="0" locked="0" layoutInCell="1" allowOverlap="1">
            <wp:simplePos x="0" y="0"/>
            <wp:positionH relativeFrom="page">
              <wp:posOffset>3913141</wp:posOffset>
            </wp:positionH>
            <wp:positionV relativeFrom="page">
              <wp:posOffset>8857900</wp:posOffset>
            </wp:positionV>
            <wp:extent cx="3012570" cy="507341"/>
            <wp:effectExtent l="0" t="0" r="0" b="0"/>
            <wp:wrapNone/>
            <wp:docPr id="21" name="Region 21"/>
            <wp:cNvGraphicFramePr/>
            <a:graphic xmlns:a="http://schemas.openxmlformats.org/drawingml/2006/main">
              <a:graphicData uri="http://schemas.microsoft.com/office/word/2010/wordprocessingShape">
                <wps:wsp>
                  <wps:cNvSpPr/>
                  <wps:spPr>
                    <a:xfrm rot="0"/>
                    <a:prstGeom prst="rect">
                      <a:avLst/>
                    </a:prstGeom>
                    <a:noFill/>
                    <a:ln w="12700">
                      <a:noFill/>
                    </a:ln>
                  </wps:spPr>
                  <wps:txbx>
                    <w:txbxContent>
                      <w:p>
                        <w:r>
                          <w:rPr>
                            <w:sz w:val="14"/>
                          </w:rPr>
                          <w:t>6. Akhaddar A, Boulahroud O, Boucetta M. Chronic spinal
   cord abscess in an elderly patient. Surg Infect (Larchmt).
   2011;12:333-4.</w:t>
                        </w:r>
                      </w:p>
                    </w:txbxContent>
                  </wps:txbx>
                  <wps:bodyPr lIns="0" tIns="0" rIns="0" bIns="0"/>
                </wps:wsp>
              </a:graphicData>
            </a:graphic>
          </wp:anchor>
        </w:drawing>
      </w:r>
      <w:bookmarkEnd w:id="21"/>
    </w:p>
    <w:sectPr w:rsidR="00FC693F" w:rsidRPr="0006063C" w:rsidSect="00034616">
      <w:pgSz w:w="11792" w:h="15591"/>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