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Topic Model Analysis and Data Mart Reports</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Topic Model Analysis</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8006" w:dyaOrig="6411">
          <v:rect xmlns:o="urn:schemas-microsoft-com:office:office" xmlns:v="urn:schemas-microsoft-com:vml" id="rectole0000000000" style="width:400.300000pt;height:320.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Topic Plot description: </w:t>
      </w:r>
      <w:r>
        <w:rPr>
          <w:rFonts w:ascii="Calibri" w:hAnsi="Calibri" w:cs="Calibri" w:eastAsia="Calibri"/>
          <w:color w:val="auto"/>
          <w:spacing w:val="0"/>
          <w:position w:val="0"/>
          <w:sz w:val="22"/>
          <w:shd w:fill="auto" w:val="clear"/>
        </w:rPr>
        <w:t xml:space="preserve">Topic modeling exists to discover hidden structure patterns of word use and then link them to documents that exhibit similar patterns. The image that was derived from the topic analysis showed the statistical probability/distribution of each word and then clustered the word sets into topics. This is due to the way that several of the natural language processing techniques work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mainly focusing on the Latent Dirichlet Allocation model. This model views each corpus document as a mixture of words and can classify topics based on the probability observed when analyzing the words and documents. Beta is used here and a higher beta value implies that each topic should be likely to contain a specific word mix. It can be implied that a higher beta value leads to topics becoming more similar in regard to the words they contain, or the probability of the term being generated from the topic i.e. “beta spread”. This allows for basically an inference of a topic based on the words grouped within the topic cluster, shown by the plots above. We chose to classify words from their respective documents into a set of k = 10 topics. </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Docs to Topics Report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682" w:dyaOrig="7630">
          <v:rect xmlns:o="urn:schemas-microsoft-com:office:office" xmlns:v="urn:schemas-microsoft-com:vml" id="rectole0000000001" style="width:134.100000pt;height:38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747" w:dyaOrig="6600">
          <v:rect xmlns:o="urn:schemas-microsoft-com:office:office" xmlns:v="urn:schemas-microsoft-com:vml" id="rectole0000000002" style="width:387.350000pt;height:33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40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288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 </w:t>
      </w:r>
      <w:r>
        <w:rPr>
          <w:rFonts w:ascii="Calibri" w:hAnsi="Calibri" w:cs="Calibri" w:eastAsia="Calibri"/>
          <w:color w:val="auto"/>
          <w:spacing w:val="0"/>
          <w:position w:val="0"/>
          <w:sz w:val="22"/>
          <w:shd w:fill="auto" w:val="clear"/>
        </w:rPr>
        <w:t xml:space="preserve">This Docs-to-Topics reporting places each of the videos into one of the 10 topics created in the topic analysis reporting based on each video’s word use. Essentially, as previously stated, each topic should be likely to contain a specific word mix. The reporting above reflects which of the 30 videos are likely to fall under a specific topic based on the mix of words found.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 Frequency Report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2174" w:dyaOrig="4147">
          <v:rect xmlns:o="urn:schemas-microsoft-com:office:office" xmlns:v="urn:schemas-microsoft-com:vml" id="rectole0000000003" style="width:108.700000pt;height:207.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7309" w:dyaOrig="4663">
          <v:rect xmlns:o="urn:schemas-microsoft-com:office:office" xmlns:v="urn:schemas-microsoft-com:vml" id="rectole0000000004" style="width:365.450000pt;height:233.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 </w:t>
      </w:r>
      <w:r>
        <w:rPr>
          <w:rFonts w:ascii="Calibri" w:hAnsi="Calibri" w:cs="Calibri" w:eastAsia="Calibri"/>
          <w:color w:val="auto"/>
          <w:spacing w:val="0"/>
          <w:position w:val="0"/>
          <w:sz w:val="22"/>
          <w:shd w:fill="auto" w:val="clear"/>
        </w:rPr>
        <w:t xml:space="preserve">In the Topic Modeling Reporting, the word trend was broken down into 10 different topics. Here in the word frequency reporting we have an overall ranking of the most used words in all 30 videos, and can be reviewed by clicking the excel icon labeled Word Frequency. The visuals above reflect the 10 most used words that came in at an impressive 1219 times and not surprisingly the top spot was claimed by technology being used over 200 times on its own.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Segoe UI Light" w:hAnsi="Segoe UI Light" w:cs="Segoe UI Light" w:eastAsia="Segoe UI Light"/>
          <w:b/>
          <w:color w:val="000000"/>
          <w:spacing w:val="0"/>
          <w:position w:val="0"/>
          <w:sz w:val="48"/>
          <w:shd w:fill="auto" w:val="clear"/>
        </w:rPr>
        <w:t xml:space="preserve">Economic Demographics</w:t>
      </w:r>
    </w:p>
    <w:p>
      <w:pPr>
        <w:spacing w:before="0" w:after="160" w:line="259"/>
        <w:ind w:right="0" w:left="0" w:firstLine="0"/>
        <w:jc w:val="center"/>
        <w:rPr>
          <w:rFonts w:ascii="Calibri" w:hAnsi="Calibri" w:cs="Calibri" w:eastAsia="Calibri"/>
          <w:color w:val="auto"/>
          <w:spacing w:val="0"/>
          <w:position w:val="0"/>
          <w:sz w:val="22"/>
          <w:shd w:fill="auto" w:val="clear"/>
        </w:rPr>
      </w:pPr>
    </w:p>
    <w:tbl>
      <w:tblPr/>
      <w:tblGrid>
        <w:gridCol w:w="1438"/>
        <w:gridCol w:w="1440"/>
        <w:gridCol w:w="1440"/>
        <w:gridCol w:w="1440"/>
        <w:gridCol w:w="1440"/>
        <w:gridCol w:w="1440"/>
      </w:tblGrid>
      <w:tr>
        <w:trPr>
          <w:trHeight w:val="238" w:hRule="auto"/>
          <w:jc w:val="left"/>
        </w:trPr>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666666"/>
                <w:spacing w:val="0"/>
                <w:position w:val="0"/>
                <w:sz w:val="22"/>
                <w:shd w:fill="auto" w:val="clear"/>
              </w:rPr>
              <w:t xml:space="preserve">State</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666666"/>
                <w:spacing w:val="0"/>
                <w:position w:val="0"/>
                <w:sz w:val="22"/>
                <w:shd w:fill="auto" w:val="clear"/>
              </w:rPr>
              <w:t xml:space="preserve">Area Name</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666666"/>
                <w:spacing w:val="0"/>
                <w:position w:val="0"/>
                <w:sz w:val="22"/>
                <w:shd w:fill="auto" w:val="clear"/>
              </w:rPr>
              <w:t xml:space="preserve">2013 Urban Influence Code</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666666"/>
                <w:spacing w:val="0"/>
                <w:position w:val="0"/>
                <w:sz w:val="22"/>
                <w:shd w:fill="auto" w:val="clear"/>
              </w:rPr>
              <w:t xml:space="preserve">2013 Rural urban Continuum Code</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666666"/>
                <w:spacing w:val="0"/>
                <w:position w:val="0"/>
                <w:sz w:val="22"/>
                <w:shd w:fill="auto" w:val="clear"/>
              </w:rPr>
              <w:t xml:space="preserve">Population in poverty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666666"/>
                <w:spacing w:val="0"/>
                <w:position w:val="0"/>
                <w:sz w:val="22"/>
                <w:shd w:fill="auto" w:val="clear"/>
              </w:rPr>
              <w:t xml:space="preserve">Population Estimate 2016</w:t>
            </w:r>
          </w:p>
        </w:tc>
      </w:tr>
      <w:tr>
        <w:trPr>
          <w:trHeight w:val="224" w:hRule="auto"/>
          <w:jc w:val="left"/>
        </w:trPr>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CA</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Alpine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4</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8</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199</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1,057</w:t>
            </w: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Butte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2</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3</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43,428</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226,525</w:t>
            </w: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Los Angeles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1,629,450</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10,150,558</w:t>
            </w:r>
          </w:p>
        </w:tc>
      </w:tr>
      <w:tr>
        <w:trPr>
          <w:trHeight w:val="224" w:hRule="auto"/>
          <w:jc w:val="left"/>
        </w:trPr>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FL</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Liberty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7</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8</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1,468</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8,319</w:t>
            </w: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Escambia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2</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2</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45,044</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311,711</w:t>
            </w: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Miami-Dade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487,700</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2,736,543</w:t>
            </w:r>
          </w:p>
        </w:tc>
      </w:tr>
      <w:tr>
        <w:trPr>
          <w:trHeight w:val="224" w:hRule="auto"/>
          <w:jc w:val="left"/>
        </w:trPr>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KS</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Greeley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12</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9</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149</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1280</w:t>
            </w: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Ellis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8</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5</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3,453</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28,823</w:t>
            </w: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Johnson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32,380</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584,716</w:t>
            </w:r>
          </w:p>
        </w:tc>
      </w:tr>
      <w:tr>
        <w:trPr>
          <w:trHeight w:val="224" w:hRule="auto"/>
          <w:jc w:val="left"/>
        </w:trPr>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NY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Schuyler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7</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6</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2,684</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17,998</w:t>
            </w: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Rockland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46,260</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326,875</w:t>
            </w:r>
          </w:p>
        </w:tc>
      </w:tr>
      <w:tr>
        <w:trPr>
          <w:trHeight w:val="224" w:hRule="auto"/>
          <w:jc w:val="left"/>
        </w:trPr>
        <w:tc>
          <w:tcPr>
            <w:tcW w:w="1438"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Queens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307,866</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20"/>
                <w:shd w:fill="auto" w:val="clear"/>
              </w:rPr>
              <w:t xml:space="preserve">2,356,044</w:t>
            </w:r>
          </w:p>
        </w:tc>
      </w:tr>
    </w:tbl>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2980" w:dyaOrig="2175">
          <v:rect xmlns:o="urn:schemas-microsoft-com:office:office" xmlns:v="urn:schemas-microsoft-com:vml" id="rectole0000000005" style="width:149.000000pt;height:108.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3007" w:dyaOrig="2188">
          <v:rect xmlns:o="urn:schemas-microsoft-com:office:office" xmlns:v="urn:schemas-microsoft-com:vml" id="rectole0000000006" style="width:150.350000pt;height:109.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 </w:t>
      </w:r>
      <w:r>
        <w:rPr>
          <w:rFonts w:ascii="Calibri" w:hAnsi="Calibri" w:cs="Calibri" w:eastAsia="Calibri"/>
          <w:color w:val="auto"/>
          <w:spacing w:val="0"/>
          <w:position w:val="0"/>
          <w:sz w:val="22"/>
          <w:shd w:fill="auto" w:val="clear"/>
        </w:rPr>
        <w:t xml:space="preserve">What we were looking to see in the Economic Demographic Data Mart was whether or not there was correlation between the size of a population and the amount of poverty within it. At first glance at the visuals, it would appear they are pretty correlated however if you look a little closer at the state of Kansas, there is a 3% decrease when comparing the population contribution of Kansas vs. their poverty levels and could be worth exploring a little deeper to see if there is meaning behind the change or if it is insignificant. Additionally, we included the Urban Influence Code and Rural Urban Continuum Code reporting to see if living in a metropolitan area or an urban area has any effect on the poverty levels.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code report 1: </w:t>
      </w:r>
    </w:p>
    <w:p>
      <w:pPr>
        <w:spacing w:before="0" w:after="0" w:line="240"/>
        <w:ind w:right="0" w:left="0" w:firstLine="0"/>
        <w:jc w:val="left"/>
        <w:rPr>
          <w:rFonts w:ascii="Arial" w:hAnsi="Arial" w:cs="Arial" w:eastAsia="Arial"/>
          <w:color w:val="222222"/>
          <w:spacing w:val="0"/>
          <w:position w:val="0"/>
          <w:sz w:val="22"/>
          <w:shd w:fill="FFFFFF"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DimCode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[2013 Urban Influence Code]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DimCode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[2013 Rural-urban Continuum Code]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[Poverty All]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'Population in poverty'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[Population Estimate 2016]</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DimCode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[Code 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DimCode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[Code 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State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IN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'KS'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'FL'</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w:t>
      </w:r>
      <w:r>
        <w:rPr>
          <w:rFonts w:ascii="Consolas" w:hAnsi="Consolas" w:cs="Consolas" w:eastAsia="Consolas"/>
          <w:color w:val="808080"/>
          <w:spacing w:val="0"/>
          <w:position w:val="0"/>
          <w:sz w:val="19"/>
          <w:shd w:fill="auto" w:val="clear"/>
        </w:rPr>
        <w:t xml:space="preserve">IN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'Los Angeles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'Butte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'Alpine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'Johnson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'Ellis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'Greeley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'Queens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'Rockland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'Schuyler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'Miami-Dade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'Escambia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'Liberty County'</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[Poverty All]</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530"/>
        <w:gridCol w:w="1659"/>
        <w:gridCol w:w="1439"/>
        <w:gridCol w:w="732"/>
      </w:tblGrid>
      <w:tr>
        <w:trPr>
          <w:trHeight w:val="159" w:hRule="auto"/>
          <w:jc w:val="left"/>
        </w:trPr>
        <w:tc>
          <w:tcPr>
            <w:tcW w:w="5530" w:type="dxa"/>
            <w:vMerge w:val="restart"/>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tbl>
            <w:tblPr/>
            <w:tblGrid>
              <w:gridCol w:w="5530"/>
            </w:tblGrid>
            <w:tr>
              <w:trPr>
                <w:trHeight w:val="541" w:hRule="auto"/>
                <w:jc w:val="left"/>
              </w:trPr>
              <w:tc>
                <w:tcPr>
                  <w:tcW w:w="5530"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hd w:fill="auto" w:val="clear"/>
                    </w:rPr>
                  </w:pPr>
                  <w:r>
                    <w:rPr>
                      <w:rFonts w:ascii="Segoe UI Light" w:hAnsi="Segoe UI Light" w:cs="Segoe UI Light" w:eastAsia="Segoe UI Light"/>
                      <w:b/>
                      <w:color w:val="000000"/>
                      <w:spacing w:val="0"/>
                      <w:position w:val="0"/>
                      <w:sz w:val="48"/>
                      <w:shd w:fill="auto" w:val="clear"/>
                    </w:rPr>
                    <w:t xml:space="preserve">Economic Demographics</w:t>
                  </w:r>
                </w:p>
              </w:tc>
            </w:tr>
          </w:tbl>
          <w:p>
            <w:pPr>
              <w:spacing w:before="0" w:after="0" w:line="240"/>
              <w:ind w:right="0" w:left="0" w:firstLine="0"/>
              <w:jc w:val="left"/>
              <w:rPr>
                <w:spacing w:val="0"/>
                <w:position w:val="0"/>
                <w:shd w:fill="auto" w:val="clear"/>
              </w:rPr>
            </w:pPr>
          </w:p>
        </w:tc>
        <w:tc>
          <w:tcPr>
            <w:tcW w:w="16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530"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tbl>
            <w:tblPr/>
            <w:tblGrid>
              <w:gridCol w:w="1439"/>
            </w:tblGrid>
            <w:tr>
              <w:trPr>
                <w:trHeight w:val="282"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tc>
        <w:tc>
          <w:tcPr>
            <w:tcW w:w="7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9" w:hRule="auto"/>
          <w:jc w:val="left"/>
        </w:trPr>
        <w:tc>
          <w:tcPr>
            <w:tcW w:w="5530"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2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18"/>
                <w:shd w:fill="auto" w:val="clear"/>
              </w:rPr>
            </w:pPr>
          </w:p>
          <w:tbl>
            <w:tblPr/>
            <w:tblGrid>
              <w:gridCol w:w="1435"/>
              <w:gridCol w:w="1438"/>
              <w:gridCol w:w="1438"/>
              <w:gridCol w:w="1439"/>
              <w:gridCol w:w="1439"/>
              <w:gridCol w:w="1439"/>
            </w:tblGrid>
            <w:tr>
              <w:trPr>
                <w:trHeight w:val="238" w:hRule="auto"/>
                <w:jc w:val="left"/>
              </w:trPr>
              <w:tc>
                <w:tcPr>
                  <w:tcW w:w="1435"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b/>
                      <w:color w:val="666666"/>
                      <w:spacing w:val="0"/>
                      <w:position w:val="0"/>
                      <w:sz w:val="18"/>
                      <w:shd w:fill="auto" w:val="clear"/>
                    </w:rPr>
                    <w:t xml:space="preserve">State</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b/>
                      <w:color w:val="666666"/>
                      <w:spacing w:val="0"/>
                      <w:position w:val="0"/>
                      <w:sz w:val="18"/>
                      <w:shd w:fill="auto" w:val="clear"/>
                    </w:rPr>
                    <w:t xml:space="preserve">Area Name</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b/>
                      <w:color w:val="666666"/>
                      <w:spacing w:val="0"/>
                      <w:position w:val="0"/>
                      <w:sz w:val="18"/>
                      <w:shd w:fill="auto" w:val="clear"/>
                    </w:rPr>
                    <w:t xml:space="preserve">2013 Urban Influence Code</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b/>
                      <w:color w:val="666666"/>
                      <w:spacing w:val="0"/>
                      <w:position w:val="0"/>
                      <w:sz w:val="18"/>
                      <w:shd w:fill="auto" w:val="clear"/>
                    </w:rPr>
                    <w:t xml:space="preserve">2013 Rural urban Continuum Code</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b/>
                      <w:color w:val="666666"/>
                      <w:spacing w:val="0"/>
                      <w:position w:val="0"/>
                      <w:sz w:val="18"/>
                      <w:shd w:fill="auto" w:val="clear"/>
                    </w:rPr>
                    <w:t xml:space="preserve">Population in poverty</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b/>
                      <w:color w:val="666666"/>
                      <w:spacing w:val="0"/>
                      <w:position w:val="0"/>
                      <w:sz w:val="18"/>
                      <w:shd w:fill="auto" w:val="clear"/>
                    </w:rPr>
                    <w:t xml:space="preserve">Population Estimate 2016</w:t>
                  </w:r>
                </w:p>
              </w:tc>
            </w:tr>
            <w:tr>
              <w:trPr>
                <w:trHeight w:val="224" w:hRule="auto"/>
                <w:jc w:val="left"/>
              </w:trPr>
              <w:tc>
                <w:tcPr>
                  <w:tcW w:w="1435"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CA</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Alpine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4</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8</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199</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1,057</w:t>
                  </w: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Butte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2</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3</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43,428</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226,525</w:t>
                  </w: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Los Angeles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1,629,450</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10,150,558</w:t>
                  </w:r>
                </w:p>
              </w:tc>
            </w:tr>
            <w:tr>
              <w:trPr>
                <w:trHeight w:val="224" w:hRule="auto"/>
                <w:jc w:val="left"/>
              </w:trPr>
              <w:tc>
                <w:tcPr>
                  <w:tcW w:w="1435"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FL</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Liberty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7</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8</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1,468</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8,319</w:t>
                  </w: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Escambia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2</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2</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45,044</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311,711</w:t>
                  </w: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Miami-Dade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487,700</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2,736,543</w:t>
                  </w:r>
                </w:p>
              </w:tc>
            </w:tr>
            <w:tr>
              <w:trPr>
                <w:trHeight w:val="224" w:hRule="auto"/>
                <w:jc w:val="left"/>
              </w:trPr>
              <w:tc>
                <w:tcPr>
                  <w:tcW w:w="1435"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KS</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Greeley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12</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9</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149</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1280</w:t>
                  </w: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Ellis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8</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5</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3,453</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28,823</w:t>
                  </w: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Johnson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32,380</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584,716</w:t>
                  </w:r>
                </w:p>
              </w:tc>
            </w:tr>
            <w:tr>
              <w:trPr>
                <w:trHeight w:val="224" w:hRule="auto"/>
                <w:jc w:val="left"/>
              </w:trPr>
              <w:tc>
                <w:tcPr>
                  <w:tcW w:w="1435"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NY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Schuyler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7</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6</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2,684</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17,998</w:t>
                  </w: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Rockland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46,260</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326,875</w:t>
                  </w:r>
                </w:p>
              </w:tc>
            </w:tr>
            <w:tr>
              <w:trPr>
                <w:trHeight w:val="224" w:hRule="auto"/>
                <w:jc w:val="left"/>
              </w:trPr>
              <w:tc>
                <w:tcPr>
                  <w:tcW w:w="1435"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Queens County</w:t>
                  </w:r>
                </w:p>
              </w:tc>
              <w:tc>
                <w:tcPr>
                  <w:tcW w:w="1438"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1</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307,866</w:t>
                  </w:r>
                </w:p>
              </w:tc>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center"/>
                    <w:rPr>
                      <w:spacing w:val="0"/>
                      <w:position w:val="0"/>
                      <w:shd w:fill="auto" w:val="clear"/>
                    </w:rPr>
                  </w:pPr>
                  <w:r>
                    <w:rPr>
                      <w:rFonts w:ascii="Arial" w:hAnsi="Arial" w:cs="Arial" w:eastAsia="Arial"/>
                      <w:color w:val="333333"/>
                      <w:spacing w:val="0"/>
                      <w:position w:val="0"/>
                      <w:sz w:val="18"/>
                      <w:shd w:fill="auto" w:val="clear"/>
                    </w:rPr>
                    <w:t xml:space="preserve">2,356,044</w:t>
                  </w:r>
                </w:p>
              </w:tc>
            </w:tr>
          </w:tbl>
          <w:p>
            <w:pPr>
              <w:spacing w:before="0" w:after="0" w:line="240"/>
              <w:ind w:right="0" w:left="0" w:firstLine="0"/>
              <w:jc w:val="left"/>
              <w:rPr>
                <w:spacing w:val="0"/>
                <w:position w:val="0"/>
                <w:shd w:fill="auto" w:val="clear"/>
              </w:rPr>
            </w:pPr>
          </w:p>
        </w:tc>
        <w:tc>
          <w:tcPr>
            <w:tcW w:w="7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code report 2: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[Less than Highschool Diploma 2012-16]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[Highschool Diploma Only 2012-16]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[Some College or Degree 2012-16]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[Bachelor's degree or higher 2012-16]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[Median Household Income 2016]</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DimCode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[Code 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DimCode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[Code 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 </w:t>
      </w:r>
      <w:r>
        <w:rPr>
          <w:rFonts w:ascii="Consolas" w:hAnsi="Consolas" w:cs="Consolas" w:eastAsia="Consolas"/>
          <w:color w:val="808080"/>
          <w:spacing w:val="0"/>
          <w:position w:val="0"/>
          <w:sz w:val="19"/>
          <w:shd w:fill="auto" w:val="clear"/>
        </w:rPr>
        <w:t xml:space="preserve">IN(</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'KS'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'FL'</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w:t>
      </w:r>
      <w:r>
        <w:rPr>
          <w:rFonts w:ascii="Consolas" w:hAnsi="Consolas" w:cs="Consolas" w:eastAsia="Consolas"/>
          <w:color w:val="808080"/>
          <w:spacing w:val="0"/>
          <w:position w:val="0"/>
          <w:sz w:val="19"/>
          <w:shd w:fill="auto" w:val="clear"/>
        </w:rPr>
        <w:t xml:space="preserve">IN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'Los Angeles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'Butte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'Alpine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'Johnson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'Ellis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'Greeley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'Queens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'Rockland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'Schuyler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'Miami-Dade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'Escambia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'Liberty County'</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[Median Household Income 2016]</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[Less than Highschool Diploma 2012-16]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[Highschool Diploma Only 2012-16]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[Some College or Degree 2012-16]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[Bachelor's degree or higher 2012-16]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[Population Estimate 2016]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[Median Household Income 2016]</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DimCode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[Code 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DimCode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[Code 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 </w:t>
      </w:r>
      <w:r>
        <w:rPr>
          <w:rFonts w:ascii="Consolas" w:hAnsi="Consolas" w:cs="Consolas" w:eastAsia="Consolas"/>
          <w:color w:val="808080"/>
          <w:spacing w:val="0"/>
          <w:position w:val="0"/>
          <w:sz w:val="19"/>
          <w:shd w:fill="auto" w:val="clear"/>
        </w:rPr>
        <w:t xml:space="preserve">IN(</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'KS'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'FL'</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w:t>
      </w:r>
      <w:r>
        <w:rPr>
          <w:rFonts w:ascii="Consolas" w:hAnsi="Consolas" w:cs="Consolas" w:eastAsia="Consolas"/>
          <w:color w:val="808080"/>
          <w:spacing w:val="0"/>
          <w:position w:val="0"/>
          <w:sz w:val="19"/>
          <w:shd w:fill="auto" w:val="clear"/>
        </w:rPr>
        <w:t xml:space="preserve">IN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'Los Angeles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'Butte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'Alpine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'Johnson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'Ellis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'Greeley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'Queens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'Rockland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'Schuyler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'Miami-Dade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'Escambia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'Liberty County'</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[Median Household Income 2016]</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280"/>
        <w:gridCol w:w="2234"/>
        <w:gridCol w:w="1244"/>
        <w:gridCol w:w="2238"/>
      </w:tblGrid>
      <w:tr>
        <w:trPr>
          <w:trHeight w:val="159" w:hRule="auto"/>
          <w:jc w:val="left"/>
        </w:trPr>
        <w:tc>
          <w:tcPr>
            <w:tcW w:w="5280" w:type="dxa"/>
            <w:vMerge w:val="restart"/>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tbl>
            <w:tblPr/>
            <w:tblGrid>
              <w:gridCol w:w="5280"/>
            </w:tblGrid>
            <w:tr>
              <w:trPr>
                <w:trHeight w:val="541" w:hRule="auto"/>
                <w:jc w:val="left"/>
              </w:trPr>
              <w:tc>
                <w:tcPr>
                  <w:tcW w:w="5280"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hd w:fill="auto" w:val="clear"/>
                    </w:rPr>
                  </w:pPr>
                  <w:r>
                    <w:rPr>
                      <w:rFonts w:ascii="Segoe UI Light" w:hAnsi="Segoe UI Light" w:cs="Segoe UI Light" w:eastAsia="Segoe UI Light"/>
                      <w:b/>
                      <w:color w:val="000000"/>
                      <w:spacing w:val="0"/>
                      <w:position w:val="0"/>
                      <w:sz w:val="48"/>
                      <w:shd w:fill="auto" w:val="clear"/>
                    </w:rPr>
                    <w:t xml:space="preserve">Regional Demographics</w:t>
                  </w:r>
                </w:p>
              </w:tc>
            </w:tr>
          </w:tbl>
          <w:p>
            <w:pPr>
              <w:spacing w:before="0" w:after="0" w:line="240"/>
              <w:ind w:right="0" w:left="0" w:firstLine="0"/>
              <w:jc w:val="left"/>
              <w:rPr>
                <w:spacing w:val="0"/>
                <w:position w:val="0"/>
                <w:shd w:fill="auto" w:val="clear"/>
              </w:rPr>
            </w:pPr>
          </w:p>
        </w:tc>
        <w:tc>
          <w:tcPr>
            <w:tcW w:w="22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280"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244"/>
            </w:tblGrid>
            <w:tr>
              <w:trPr>
                <w:trHeight w:val="282" w:hRule="auto"/>
                <w:jc w:val="left"/>
              </w:trPr>
              <w:tc>
                <w:tcPr>
                  <w:tcW w:w="1244"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tc>
        <w:tc>
          <w:tcPr>
            <w:tcW w:w="22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9" w:hRule="auto"/>
          <w:jc w:val="left"/>
        </w:trPr>
        <w:tc>
          <w:tcPr>
            <w:tcW w:w="5280"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96"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tbl>
            <w:tblPr/>
            <w:tblGrid>
              <w:gridCol w:w="1439"/>
              <w:gridCol w:w="1440"/>
              <w:gridCol w:w="1440"/>
              <w:gridCol w:w="1754"/>
              <w:gridCol w:w="1440"/>
              <w:gridCol w:w="1440"/>
            </w:tblGrid>
            <w:tr>
              <w:trPr>
                <w:trHeight w:val="238" w:hRule="auto"/>
                <w:jc w:val="left"/>
              </w:trPr>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666666"/>
                      <w:spacing w:val="0"/>
                      <w:position w:val="0"/>
                      <w:sz w:val="22"/>
                      <w:shd w:fill="auto" w:val="clear"/>
                    </w:rPr>
                    <w:t xml:space="preserve">State</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666666"/>
                      <w:spacing w:val="0"/>
                      <w:position w:val="0"/>
                      <w:sz w:val="22"/>
                      <w:shd w:fill="auto" w:val="clear"/>
                    </w:rPr>
                    <w:t xml:space="preserve">Area Name</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b/>
                      <w:color w:val="666666"/>
                      <w:spacing w:val="0"/>
                      <w:position w:val="0"/>
                      <w:sz w:val="22"/>
                      <w:shd w:fill="auto" w:val="clear"/>
                    </w:rPr>
                    <w:t xml:space="preserve">Median Household Income 2016</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b/>
                      <w:color w:val="666666"/>
                      <w:spacing w:val="0"/>
                      <w:position w:val="0"/>
                      <w:sz w:val="22"/>
                      <w:shd w:fill="auto" w:val="clear"/>
                    </w:rPr>
                    <w:t xml:space="preserve">Unemployment Rate 2016</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b/>
                      <w:color w:val="666666"/>
                      <w:spacing w:val="0"/>
                      <w:position w:val="0"/>
                      <w:sz w:val="22"/>
                      <w:shd w:fill="auto" w:val="clear"/>
                    </w:rPr>
                    <w:t xml:space="preserve">Population in Group Quarters</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b/>
                      <w:color w:val="666666"/>
                      <w:spacing w:val="0"/>
                      <w:position w:val="0"/>
                      <w:sz w:val="22"/>
                      <w:shd w:fill="auto" w:val="clear"/>
                    </w:rPr>
                    <w:t xml:space="preserve">Population Estimate 2016</w:t>
                  </w:r>
                </w:p>
              </w:tc>
            </w:tr>
            <w:tr>
              <w:trPr>
                <w:trHeight w:val="224" w:hRule="auto"/>
                <w:jc w:val="left"/>
              </w:trPr>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CA</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Alpine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$57,481.00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6.5%</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24</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1,057</w:t>
                  </w: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Butte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$45,097.00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6.6%</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5,394</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226,525</w:t>
                  </w: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Los Angeles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$61,308.00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5.3%</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176,715</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10,150,558</w:t>
                  </w:r>
                </w:p>
              </w:tc>
            </w:tr>
            <w:tr>
              <w:trPr>
                <w:trHeight w:val="224" w:hRule="auto"/>
                <w:jc w:val="left"/>
              </w:trPr>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FL</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Liberty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$38,900.00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5.1%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2,018</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8,319</w:t>
                  </w: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Escambia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$45,004.00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4.9%</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18,079</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311,711</w:t>
                  </w: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Miami-Dade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$45,886.00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5.3%</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41,757</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2,736,543</w:t>
                  </w:r>
                </w:p>
              </w:tc>
            </w:tr>
            <w:tr>
              <w:trPr>
                <w:trHeight w:val="224" w:hRule="auto"/>
                <w:jc w:val="left"/>
              </w:trPr>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KS</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Greeley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$47,620.00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2.1%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26</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1,280</w:t>
                  </w: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Ellis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$52,265.00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3.1%</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1,033</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28,823</w:t>
                  </w: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Johnson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$80,872.00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3.3%</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5,160</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584,716</w:t>
                  </w:r>
                </w:p>
              </w:tc>
            </w:tr>
            <w:tr>
              <w:trPr>
                <w:trHeight w:val="224" w:hRule="auto"/>
                <w:jc w:val="left"/>
              </w:trPr>
              <w:tc>
                <w:tcPr>
                  <w:tcW w:w="1439"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NY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Schuyler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$48,109.00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6.0%</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215</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17,998</w:t>
                  </w: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Rockland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$84,358.00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4.2%</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7,004</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326,875</w:t>
                  </w:r>
                </w:p>
              </w:tc>
            </w:tr>
            <w:tr>
              <w:trPr>
                <w:trHeight w:val="344" w:hRule="auto"/>
                <w:jc w:val="left"/>
              </w:trPr>
              <w:tc>
                <w:tcPr>
                  <w:tcW w:w="1439" w:type="dxa"/>
                  <w:tcBorders>
                    <w:top w:val="single" w:color="000000" w:sz="0"/>
                    <w:left w:val="single" w:color="000000" w:sz="0"/>
                    <w:bottom w:val="single" w:color="000000" w:sz="0"/>
                    <w:right w:val="single" w:color="000000" w:sz="0"/>
                  </w:tcBorders>
                  <w:shd w:color="000000" w:fill="ffffff" w:val="clear"/>
                  <w:tcMar>
                    <w:left w:w="38" w:type="dxa"/>
                    <w:right w:w="3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333333"/>
                      <w:spacing w:val="0"/>
                      <w:position w:val="0"/>
                      <w:sz w:val="22"/>
                      <w:shd w:fill="auto" w:val="clear"/>
                    </w:rPr>
                    <w:t xml:space="preserve">Queens County</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$61,844.00</w:t>
                  </w:r>
                </w:p>
              </w:tc>
              <w:tc>
                <w:tcPr>
                  <w:tcW w:w="1754"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4.5%</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27,505</w:t>
                  </w:r>
                </w:p>
              </w:tc>
              <w:tc>
                <w:tcPr>
                  <w:tcW w:w="1440" w:type="dxa"/>
                  <w:tcBorders>
                    <w:top w:val="single" w:color="000000" w:sz="0"/>
                    <w:left w:val="single" w:color="000000" w:sz="0"/>
                    <w:bottom w:val="single" w:color="d3d3d3" w:sz="7"/>
                    <w:right w:val="single" w:color="000000" w:sz="0"/>
                  </w:tcBorders>
                  <w:shd w:color="000000" w:fill="ffffff" w:val="clear"/>
                  <w:tcMar>
                    <w:left w:w="38" w:type="dxa"/>
                    <w:right w:w="3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333333"/>
                      <w:spacing w:val="0"/>
                      <w:position w:val="0"/>
                      <w:sz w:val="22"/>
                      <w:shd w:fill="auto" w:val="clear"/>
                    </w:rPr>
                    <w:t xml:space="preserve">2,356,044</w:t>
                  </w:r>
                </w:p>
              </w:tc>
            </w:tr>
          </w:tbl>
          <w:p>
            <w:pPr>
              <w:spacing w:before="0" w:after="0" w:line="240"/>
              <w:ind w:right="0" w:left="0" w:firstLine="0"/>
              <w:jc w:val="left"/>
              <w:rPr>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code report 3: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[Median Household Income 2016]</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[UR 2016]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'Unemployment Rate 2016'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[GQ Estimates 2016]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'Population in Group Quarters'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[Population Estimate 2016]</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DimCode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[Code 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DimCode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[Code 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[StateID]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 </w:t>
      </w:r>
      <w:r>
        <w:rPr>
          <w:rFonts w:ascii="Consolas" w:hAnsi="Consolas" w:cs="Consolas" w:eastAsia="Consolas"/>
          <w:color w:val="808080"/>
          <w:spacing w:val="0"/>
          <w:position w:val="0"/>
          <w:sz w:val="19"/>
          <w:shd w:fill="auto" w:val="clear"/>
        </w:rPr>
        <w:t xml:space="preserve">IN(</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'KS'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'FL'</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DimAreaName1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[Area Name] </w:t>
      </w:r>
      <w:r>
        <w:rPr>
          <w:rFonts w:ascii="Consolas" w:hAnsi="Consolas" w:cs="Consolas" w:eastAsia="Consolas"/>
          <w:color w:val="808080"/>
          <w:spacing w:val="0"/>
          <w:position w:val="0"/>
          <w:sz w:val="19"/>
          <w:shd w:fill="auto" w:val="clear"/>
        </w:rPr>
        <w:t xml:space="preserve">IN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'Los Angeles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'Butte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'Alpine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'Johnson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'Ellis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'Greeley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'Queens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'Rockland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'Schuyler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'Miami-Dade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'Escambia County'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'Liberty County'</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DimState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Education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FactTable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[Population Estimate 2016]</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