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4148C0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6pt;mso-width-percent:0;mso-height-percent:0;mso-width-percent:0;mso-height-percent:0" o:ole="">
            <v:imagedata r:id="rId8" o:title=""/>
          </v:shape>
          <o:OLEObject Type="Embed" ProgID="PBrush" ShapeID="_x0000_i1025" DrawAspect="Content" ObjectID="_1793771172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5C58FB72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443429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proofErr w:type="gramStart"/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proofErr w:type="gramEnd"/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022F218D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BE4630">
              <w:rPr>
                <w:rFonts w:hint="eastAsia"/>
                <w:sz w:val="28"/>
              </w:rPr>
              <w:t>三</w:t>
            </w:r>
            <w:r w:rsidRPr="00BE4630">
              <w:rPr>
                <w:rFonts w:ascii="Times New Roman" w:hAnsi="Times New Roman" w:cs="Times New Roman"/>
                <w:sz w:val="28"/>
              </w:rPr>
              <w:t>：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近邻分类与</w:t>
            </w:r>
            <w:r w:rsidR="00BE4630" w:rsidRPr="00BE4630">
              <w:rPr>
                <w:rFonts w:ascii="Times New Roman" w:hAnsi="Times New Roman" w:cs="Times New Roman"/>
                <w:sz w:val="28"/>
              </w:rPr>
              <w:t>K-</w:t>
            </w:r>
            <w:r w:rsidR="00BE4630">
              <w:rPr>
                <w:rFonts w:hint="eastAsia"/>
                <w:sz w:val="28"/>
              </w:rPr>
              <w:t>均值聚类</w:t>
            </w:r>
            <w:r w:rsidR="007F6331" w:rsidRPr="007F6331">
              <w:rPr>
                <w:rFonts w:hint="eastAsia"/>
                <w:sz w:val="28"/>
              </w:rPr>
              <w:t>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CB4213A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44342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3AA10B7B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</w:t>
            </w:r>
            <w:r w:rsidR="008D1AD5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3BD84F55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1AD5">
              <w:rPr>
                <w:rFonts w:ascii="Times New Roman" w:hAnsi="Times New Roman" w:cs="Times New Roman"/>
                <w:sz w:val="28"/>
              </w:rPr>
              <w:t>29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1C8DAEE" w:rsidR="00F733D7" w:rsidRPr="00BE256C" w:rsidRDefault="005B30BD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近邻分类与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K-</w:t>
            </w:r>
            <w:r w:rsidRPr="005B30BD">
              <w:rPr>
                <w:rFonts w:ascii="Times New Roman" w:hAnsi="Times New Roman" w:cs="Times New Roman"/>
                <w:b/>
                <w:bCs/>
                <w:sz w:val="28"/>
              </w:rPr>
              <w:t>均值聚类实验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4D64ED7B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近邻分类的基本原理</w:t>
            </w:r>
            <w:r w:rsidR="001A646C" w:rsidRPr="00BE256C">
              <w:rPr>
                <w:rFonts w:hint="eastAsia"/>
                <w:sz w:val="24"/>
                <w:szCs w:val="21"/>
              </w:rPr>
              <w:t>。</w:t>
            </w:r>
          </w:p>
          <w:p w14:paraId="283A5CC6" w14:textId="7301499A" w:rsidR="001A646C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近邻分类</w:t>
            </w:r>
            <w:r w:rsidRPr="00BE256C">
              <w:rPr>
                <w:rFonts w:hint="eastAsia"/>
                <w:sz w:val="24"/>
                <w:szCs w:val="21"/>
              </w:rPr>
              <w:t>算法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56CA6D5A" w:rsidR="009D3C02" w:rsidRPr="00BE256C" w:rsidRDefault="00675078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掌握</w:t>
            </w:r>
            <w:r>
              <w:rPr>
                <w:rFonts w:hint="eastAsia"/>
                <w:sz w:val="24"/>
                <w:szCs w:val="21"/>
              </w:rPr>
              <w:t>K</w:t>
            </w:r>
            <w:r>
              <w:rPr>
                <w:sz w:val="24"/>
                <w:szCs w:val="21"/>
              </w:rPr>
              <w:t>-</w:t>
            </w:r>
            <w:r>
              <w:rPr>
                <w:rFonts w:hint="eastAsia"/>
                <w:sz w:val="24"/>
                <w:szCs w:val="21"/>
              </w:rPr>
              <w:t>均值聚类的基本原理</w:t>
            </w:r>
            <w:r w:rsidR="00A76F8F" w:rsidRPr="00BE256C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1EA63A62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</w:t>
            </w:r>
            <w:r w:rsidR="00675078">
              <w:rPr>
                <w:rFonts w:hint="eastAsia"/>
                <w:sz w:val="24"/>
                <w:szCs w:val="21"/>
              </w:rPr>
              <w:t>K</w:t>
            </w:r>
            <w:r w:rsidR="00675078">
              <w:rPr>
                <w:sz w:val="24"/>
                <w:szCs w:val="21"/>
              </w:rPr>
              <w:t>-</w:t>
            </w:r>
            <w:r w:rsidR="00675078">
              <w:rPr>
                <w:rFonts w:hint="eastAsia"/>
                <w:sz w:val="24"/>
                <w:szCs w:val="21"/>
              </w:rPr>
              <w:t>均值聚类</w:t>
            </w:r>
            <w:r w:rsidR="00675078" w:rsidRPr="00BE256C">
              <w:rPr>
                <w:rFonts w:hint="eastAsia"/>
                <w:sz w:val="24"/>
                <w:szCs w:val="21"/>
              </w:rPr>
              <w:t>算法</w:t>
            </w:r>
            <w:r w:rsidRPr="00BE256C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745A060A" w14:textId="77777777" w:rsidR="00F35A42" w:rsidRPr="00BE256C" w:rsidRDefault="00F35A42" w:rsidP="00F35A42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编写代码，使用</w:t>
            </w:r>
            <w:r>
              <w:rPr>
                <w:rFonts w:hint="eastAsia"/>
                <w:bCs/>
                <w:color w:val="000000"/>
                <w:sz w:val="24"/>
              </w:rPr>
              <w:t>K</w:t>
            </w:r>
            <w:r>
              <w:rPr>
                <w:rFonts w:hint="eastAsia"/>
                <w:bCs/>
                <w:color w:val="000000"/>
                <w:sz w:val="24"/>
              </w:rPr>
              <w:t>近邻分类算法</w:t>
            </w:r>
            <w:r w:rsidRPr="00BE256C">
              <w:rPr>
                <w:bCs/>
                <w:color w:val="000000"/>
                <w:sz w:val="24"/>
              </w:rPr>
              <w:t>对训练数据</w:t>
            </w:r>
            <w:r>
              <w:rPr>
                <w:rFonts w:hint="eastAsia"/>
                <w:bCs/>
                <w:color w:val="000000"/>
                <w:sz w:val="24"/>
              </w:rPr>
              <w:t>（实验二</w:t>
            </w:r>
            <w:r w:rsidRPr="00BE256C">
              <w:rPr>
                <w:bCs/>
                <w:color w:val="000000"/>
                <w:sz w:val="24"/>
              </w:rPr>
              <w:t>题目</w:t>
            </w:r>
            <w:r w:rsidRPr="00BE256C">
              <w:rPr>
                <w:bCs/>
                <w:color w:val="000000"/>
                <w:sz w:val="24"/>
              </w:rPr>
              <w:t>2</w:t>
            </w:r>
            <w:r w:rsidRPr="00BE256C">
              <w:rPr>
                <w:bCs/>
                <w:color w:val="000000"/>
                <w:sz w:val="24"/>
              </w:rPr>
              <w:t>训练数据</w:t>
            </w:r>
            <w:r w:rsidRPr="00BE256C">
              <w:rPr>
                <w:bCs/>
                <w:color w:val="000000"/>
                <w:sz w:val="24"/>
              </w:rPr>
              <w:t>.txt</w:t>
            </w:r>
            <w:r>
              <w:rPr>
                <w:rFonts w:hint="eastAsia"/>
                <w:bCs/>
                <w:color w:val="000000"/>
                <w:sz w:val="24"/>
              </w:rPr>
              <w:t>）</w:t>
            </w:r>
            <w:r w:rsidRPr="00BE256C">
              <w:rPr>
                <w:bCs/>
                <w:color w:val="000000"/>
                <w:sz w:val="24"/>
              </w:rPr>
              <w:t>进行模型训练，计算在验证集（训练数据后</w:t>
            </w:r>
            <w:r w:rsidRPr="00BE256C">
              <w:rPr>
                <w:bCs/>
                <w:color w:val="000000"/>
                <w:sz w:val="24"/>
              </w:rPr>
              <w:t>20%</w:t>
            </w:r>
            <w:r w:rsidRPr="00BE256C">
              <w:rPr>
                <w:bCs/>
                <w:color w:val="000000"/>
                <w:sz w:val="24"/>
              </w:rPr>
              <w:t>）</w:t>
            </w:r>
            <w:r>
              <w:rPr>
                <w:rFonts w:hint="eastAsia"/>
                <w:bCs/>
                <w:color w:val="000000"/>
                <w:sz w:val="24"/>
              </w:rPr>
              <w:t>上的正确率、精准率和召回率</w:t>
            </w:r>
            <w:r w:rsidRPr="00BE256C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CA6B2C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622573F4" w14:textId="77777777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51DE348D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5492E80D" w14:textId="77777777" w:rsidR="00F35A42" w:rsidRPr="00F92727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</w:t>
            </w:r>
            <w:r>
              <w:rPr>
                <w:rFonts w:hint="eastAsia"/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个样本。</w:t>
            </w:r>
          </w:p>
          <w:p w14:paraId="22DD2AF8" w14:textId="77777777" w:rsidR="00F35A42" w:rsidRPr="00BE256C" w:rsidRDefault="00F35A42" w:rsidP="00F35A42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724E5ECF" w14:textId="79AC7E0A" w:rsidR="00F35A42" w:rsidRPr="00BE256C" w:rsidRDefault="00F35A42" w:rsidP="00F35A4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与实验二相同</w:t>
            </w:r>
          </w:p>
          <w:p w14:paraId="439815E6" w14:textId="77777777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3C8CE535" w14:textId="78F751F8" w:rsidR="00F35A42" w:rsidRPr="00BE256C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="007E6BB8"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0441F521" w14:textId="77777777" w:rsidR="00F35A42" w:rsidRDefault="00F35A42" w:rsidP="00F35A42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，程序运行时间角度与（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）进行比较。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（选做）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58471856" w14:textId="22F0A124" w:rsidR="00F35A42" w:rsidRDefault="00054BAE" w:rsidP="00054BAE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Cs/>
                <w:color w:val="000000"/>
                <w:sz w:val="24"/>
                <w:szCs w:val="32"/>
              </w:rPr>
              <w:lastRenderedPageBreak/>
              <w:t>编写代码，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利用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K</w:t>
            </w:r>
            <w:r w:rsidRPr="00054BAE">
              <w:rPr>
                <w:bCs/>
                <w:color w:val="000000"/>
                <w:sz w:val="24"/>
                <w:szCs w:val="32"/>
              </w:rPr>
              <w:t>-</w:t>
            </w:r>
            <w:r w:rsidRPr="00054BAE">
              <w:rPr>
                <w:rFonts w:hint="eastAsia"/>
                <w:bCs/>
                <w:color w:val="000000"/>
                <w:sz w:val="24"/>
                <w:szCs w:val="32"/>
              </w:rPr>
              <w:t>均值聚类和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降维（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from sklearn.decomposition import PCA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，请在网络检索使用方法）方法，实现对书上手写数字数据集“</w:t>
            </w:r>
            <w:r w:rsidR="007E6BB8" w:rsidRPr="007E6BB8">
              <w:rPr>
                <w:bCs/>
                <w:color w:val="000000"/>
                <w:sz w:val="24"/>
                <w:szCs w:val="32"/>
              </w:rPr>
              <w:t>arab_digits_training</w:t>
            </w:r>
            <w:r w:rsidR="007E6BB8">
              <w:rPr>
                <w:bCs/>
                <w:color w:val="000000"/>
                <w:sz w:val="24"/>
                <w:szCs w:val="32"/>
              </w:rPr>
              <w:t>.txt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”的第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2</w:t>
            </w:r>
            <w:r w:rsidR="007E6BB8">
              <w:rPr>
                <w:bCs/>
                <w:color w:val="000000"/>
                <w:sz w:val="24"/>
                <w:szCs w:val="32"/>
              </w:rPr>
              <w:t>-785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列特征数据进行聚类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，聚类中心数量选</w:t>
            </w:r>
            <w:r w:rsidR="00E73E63">
              <w:rPr>
                <w:rFonts w:hint="eastAsia"/>
                <w:bCs/>
                <w:color w:val="000000"/>
                <w:sz w:val="24"/>
                <w:szCs w:val="32"/>
              </w:rPr>
              <w:t>1</w:t>
            </w:r>
            <w:r w:rsidR="00E73E63">
              <w:rPr>
                <w:bCs/>
                <w:color w:val="000000"/>
                <w:sz w:val="24"/>
                <w:szCs w:val="32"/>
              </w:rPr>
              <w:t>0</w:t>
            </w:r>
            <w:r w:rsidR="007E6BB8">
              <w:rPr>
                <w:rFonts w:hint="eastAsia"/>
                <w:bCs/>
                <w:color w:val="000000"/>
                <w:sz w:val="24"/>
                <w:szCs w:val="32"/>
              </w:rPr>
              <w:t>。</w:t>
            </w:r>
          </w:p>
          <w:p w14:paraId="642BC2F8" w14:textId="77777777" w:rsidR="007E6BB8" w:rsidRPr="00BE256C" w:rsidRDefault="007E6BB8" w:rsidP="007E6BB8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7DE3A1E5" w14:textId="488F4DF1" w:rsidR="007E6BB8" w:rsidRPr="00BE256C" w:rsidRDefault="007E6BB8" w:rsidP="007E6BB8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s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  <w:r>
              <w:rPr>
                <w:rFonts w:ascii="Times New Roman" w:hAnsi="Times New Roman" w:cs="Times New Roman" w:hint="eastAsia"/>
                <w:bCs/>
                <w:color w:val="000000"/>
              </w:rPr>
              <w:t>，</w:t>
            </w:r>
          </w:p>
          <w:p w14:paraId="4AA4A91B" w14:textId="58344EA6" w:rsidR="00F35A42" w:rsidRPr="00B858EA" w:rsidRDefault="007E6BB8" w:rsidP="00B858EA">
            <w:pPr>
              <w:ind w:firstLineChars="150" w:firstLine="360"/>
              <w:rPr>
                <w:rFonts w:ascii="Times New Roman" w:hAnsi="Times New Roman" w:cs="Times New Roman"/>
                <w:bCs/>
                <w:color w:val="000000"/>
                <w:szCs w:val="32"/>
              </w:rPr>
            </w:pP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2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）使用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matplotlib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，在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PCA</w:t>
            </w:r>
            <w:r w:rsidR="00E73E63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降维后的空间使用不同颜色画出每个类别的样本，并用该类别中类标出现次数最多的类别标注出该类的聚类中心。</w:t>
            </w:r>
            <w:r w:rsidRPr="007E6BB8">
              <w:rPr>
                <w:rFonts w:ascii="Times New Roman" w:hAnsi="Times New Roman" w:cs="Times New Roman" w:hint="eastAsia"/>
                <w:bCs/>
                <w:color w:val="000000"/>
                <w:szCs w:val="32"/>
              </w:rPr>
              <w:t>（</w:t>
            </w:r>
            <w:r w:rsidRPr="007E6BB8">
              <w:rPr>
                <w:rFonts w:ascii="Times New Roman" w:hAnsi="Times New Roman" w:cs="Times New Roman"/>
                <w:bCs/>
                <w:color w:val="000000"/>
                <w:szCs w:val="32"/>
              </w:rPr>
              <w:t>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53A8863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05CDD2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80BA941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580CABE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9A98F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C26C2BA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F81D10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67F27F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DCB461B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3EE87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E1D939C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728A04F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82769B7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A02B96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39945C4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096A55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38CB8F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23E1982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9D3E2D0" w14:textId="77777777" w:rsidR="00B858EA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4CBCE61" w14:textId="77777777" w:rsidR="00B858EA" w:rsidRPr="00BE256C" w:rsidRDefault="00B858EA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E1C0F97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K</w:t>
            </w:r>
            <w:r w:rsidR="001E7935">
              <w:rPr>
                <w:rFonts w:ascii="Times New Roman" w:hAnsi="Times New Roman" w:cs="Times New Roman"/>
                <w:sz w:val="21"/>
              </w:rPr>
              <w:t>-</w:t>
            </w:r>
            <w:r w:rsidR="001E7935"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880DB" w14:textId="77777777" w:rsidR="00DC2550" w:rsidRDefault="00DC2550">
      <w:r>
        <w:separator/>
      </w:r>
    </w:p>
  </w:endnote>
  <w:endnote w:type="continuationSeparator" w:id="0">
    <w:p w14:paraId="73CC4ADA" w14:textId="77777777" w:rsidR="00DC2550" w:rsidRDefault="00DC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C333B" w14:textId="77777777" w:rsidR="00DC2550" w:rsidRDefault="00DC2550">
      <w:r>
        <w:separator/>
      </w:r>
    </w:p>
  </w:footnote>
  <w:footnote w:type="continuationSeparator" w:id="0">
    <w:p w14:paraId="3436E857" w14:textId="77777777" w:rsidR="00DC2550" w:rsidRDefault="00DC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651519"/>
    <w:multiLevelType w:val="hybridMultilevel"/>
    <w:tmpl w:val="3D1A9764"/>
    <w:lvl w:ilvl="0" w:tplc="786074BA">
      <w:start w:val="2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9275562"/>
    <w:multiLevelType w:val="hybridMultilevel"/>
    <w:tmpl w:val="B22240D0"/>
    <w:lvl w:ilvl="0" w:tplc="7114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neJwUsVRbKr/zP9lP+DeRhOTETIk3jlqTFHYgKmpOTJiBw5DRX7Y1HRgMA5lkhSRdFWdkfq8aRIRh4j9fGBzKg==" w:salt="t4QvacagFevkPkGSx28R7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54BAE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D4597"/>
    <w:rsid w:val="001E3BEB"/>
    <w:rsid w:val="001E543B"/>
    <w:rsid w:val="001E7935"/>
    <w:rsid w:val="001F4B68"/>
    <w:rsid w:val="00200EDE"/>
    <w:rsid w:val="00210BDC"/>
    <w:rsid w:val="00230A72"/>
    <w:rsid w:val="00234B1E"/>
    <w:rsid w:val="00280A0B"/>
    <w:rsid w:val="00293EB7"/>
    <w:rsid w:val="002F6762"/>
    <w:rsid w:val="00303C59"/>
    <w:rsid w:val="0031249A"/>
    <w:rsid w:val="003131C5"/>
    <w:rsid w:val="00317CF5"/>
    <w:rsid w:val="00350C15"/>
    <w:rsid w:val="003A01F2"/>
    <w:rsid w:val="003A2E76"/>
    <w:rsid w:val="003B4426"/>
    <w:rsid w:val="003E2FF3"/>
    <w:rsid w:val="00401147"/>
    <w:rsid w:val="004148C0"/>
    <w:rsid w:val="0041497B"/>
    <w:rsid w:val="00414FC5"/>
    <w:rsid w:val="004331D0"/>
    <w:rsid w:val="00434EE1"/>
    <w:rsid w:val="00443429"/>
    <w:rsid w:val="00475D72"/>
    <w:rsid w:val="004919A7"/>
    <w:rsid w:val="004A382D"/>
    <w:rsid w:val="004B53AA"/>
    <w:rsid w:val="004C2F6B"/>
    <w:rsid w:val="004C51DD"/>
    <w:rsid w:val="004C6544"/>
    <w:rsid w:val="004D3BFD"/>
    <w:rsid w:val="004E2101"/>
    <w:rsid w:val="004E7D21"/>
    <w:rsid w:val="004F0412"/>
    <w:rsid w:val="004F5629"/>
    <w:rsid w:val="00501C95"/>
    <w:rsid w:val="0051486B"/>
    <w:rsid w:val="00523390"/>
    <w:rsid w:val="005360BD"/>
    <w:rsid w:val="00547D21"/>
    <w:rsid w:val="005719C3"/>
    <w:rsid w:val="005B15E9"/>
    <w:rsid w:val="005B30BD"/>
    <w:rsid w:val="005C4C20"/>
    <w:rsid w:val="005C6FCD"/>
    <w:rsid w:val="006173C4"/>
    <w:rsid w:val="00643A4F"/>
    <w:rsid w:val="00652D33"/>
    <w:rsid w:val="00675078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E6BB8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D1AD5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60394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2ADA"/>
    <w:rsid w:val="00B77103"/>
    <w:rsid w:val="00B772E0"/>
    <w:rsid w:val="00B77393"/>
    <w:rsid w:val="00B858EA"/>
    <w:rsid w:val="00B921F2"/>
    <w:rsid w:val="00BB5E6E"/>
    <w:rsid w:val="00BE256C"/>
    <w:rsid w:val="00BE4630"/>
    <w:rsid w:val="00BF40C0"/>
    <w:rsid w:val="00C02922"/>
    <w:rsid w:val="00C04DC3"/>
    <w:rsid w:val="00C1070B"/>
    <w:rsid w:val="00C14EB3"/>
    <w:rsid w:val="00C1648B"/>
    <w:rsid w:val="00C2270F"/>
    <w:rsid w:val="00C409C7"/>
    <w:rsid w:val="00C827BA"/>
    <w:rsid w:val="00C90FD2"/>
    <w:rsid w:val="00CD15D0"/>
    <w:rsid w:val="00D05447"/>
    <w:rsid w:val="00D1549D"/>
    <w:rsid w:val="00D35E4B"/>
    <w:rsid w:val="00D65BB8"/>
    <w:rsid w:val="00DC2489"/>
    <w:rsid w:val="00DC2550"/>
    <w:rsid w:val="00DC3E93"/>
    <w:rsid w:val="00E02C65"/>
    <w:rsid w:val="00E125C9"/>
    <w:rsid w:val="00E73E63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35A42"/>
    <w:rsid w:val="00F60BA1"/>
    <w:rsid w:val="00F7236A"/>
    <w:rsid w:val="00F733D7"/>
    <w:rsid w:val="00F9272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40D6-B272-42F8-9BA1-B229CCEB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274</Words>
  <Characters>1568</Characters>
  <Application>Microsoft Office Word</Application>
  <DocSecurity>8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38</cp:revision>
  <dcterms:created xsi:type="dcterms:W3CDTF">2023-09-06T01:48:00Z</dcterms:created>
  <dcterms:modified xsi:type="dcterms:W3CDTF">2024-11-22T01:00:00Z</dcterms:modified>
</cp:coreProperties>
</file>