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6ECF16">
      <w:pPr>
        <w:spacing w:before="2400"/>
      </w:pPr>
    </w:p>
    <w:p w14:paraId="531BBD0C">
      <w:pPr>
        <w:spacing w:after="400"/>
        <w:jc w:val="center"/>
      </w:pPr>
      <w:r>
        <w:rPr>
          <w:rFonts w:ascii="微软雅黑" w:hAnsi="微软雅黑" w:eastAsia="微软雅黑" w:cs="微软雅黑"/>
          <w:b/>
          <w:bCs/>
          <w:color w:val="2E75B6"/>
          <w:sz w:val="72"/>
          <w:szCs w:val="72"/>
        </w:rPr>
        <w:t>北辰 ERP</w:t>
      </w:r>
    </w:p>
    <w:p w14:paraId="65E5A255">
      <w:pPr>
        <w:spacing w:after="200"/>
        <w:jc w:val="center"/>
      </w:pPr>
      <w:r>
        <w:rPr>
          <w:rFonts w:ascii="微软雅黑" w:hAnsi="微软雅黑" w:eastAsia="微软雅黑" w:cs="微软雅黑"/>
          <w:color w:val="404040"/>
          <w:sz w:val="44"/>
          <w:szCs w:val="44"/>
        </w:rPr>
        <w:t>系统架构与业务说明文档</w:t>
      </w:r>
    </w:p>
    <w:p w14:paraId="5DE57FF9">
      <w:pPr>
        <w:spacing w:after="600"/>
        <w:jc w:val="center"/>
      </w:pPr>
      <w:r>
        <w:rPr>
          <w:rFonts w:ascii="微软雅黑" w:hAnsi="微软雅黑" w:eastAsia="微软雅黑" w:cs="微软雅黑"/>
          <w:color w:val="666666"/>
          <w:sz w:val="28"/>
          <w:szCs w:val="28"/>
        </w:rPr>
        <w:t>V3.0</w:t>
      </w:r>
    </w:p>
    <w:p w14:paraId="32B3F11F">
      <w:pPr>
        <w:jc w:val="center"/>
      </w:pPr>
      <w:r>
        <w:rPr>
          <w:rFonts w:ascii="微软雅黑" w:hAnsi="微软雅黑" w:eastAsia="微软雅黑" w:cs="微软雅黑"/>
          <w:color w:val="666666"/>
          <w:sz w:val="24"/>
          <w:szCs w:val="24"/>
        </w:rPr>
        <w:t>生成日期：2026/8/14</w:t>
      </w:r>
    </w:p>
    <w:p w14:paraId="13E30318">
      <w:pPr>
        <w:jc w:val="center"/>
      </w:pPr>
      <w:r>
        <w:rPr>
          <w:rFonts w:ascii="微软雅黑" w:hAnsi="微软雅黑" w:eastAsia="微软雅黑" w:cs="微软雅黑"/>
          <w:color w:val="666666"/>
          <w:sz w:val="24"/>
          <w:szCs w:val="24"/>
        </w:rPr>
        <w:t>状态：正式发布版</w:t>
      </w:r>
    </w:p>
    <w:p w14:paraId="19CCB3CC">
      <w:r>
        <w:br w:type="page"/>
      </w:r>
    </w:p>
    <w:p w14:paraId="4E71F947">
      <w:pPr>
        <w:pStyle w:val="3"/>
      </w:pPr>
      <w:bookmarkStart w:id="0" w:name="_Toc14844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文档修订记录</w:t>
      </w:r>
      <w:bookmarkEnd w:id="0"/>
    </w:p>
    <w:tbl>
      <w:tblPr>
        <w:tblStyle w:val="13"/>
        <w:tblW w:w="5000" w:type="pct"/>
        <w:tblInd w:w="0" w:type="dxa"/>
        <w:tblBorders>
          <w:top w:val="single" w:color="CCCCCC" w:sz="0" w:space="0"/>
          <w:left w:val="single" w:color="CCCCCC" w:sz="0" w:space="0"/>
          <w:bottom w:val="single" w:color="CCCCCC" w:sz="0" w:space="0"/>
          <w:right w:val="single" w:color="CCCCCC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18"/>
        <w:gridCol w:w="1309"/>
        <w:gridCol w:w="7095"/>
      </w:tblGrid>
      <w:tr w14:paraId="6D1720B1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C8D8A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版本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7CC87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日期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70D3E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修订内容</w:t>
            </w:r>
          </w:p>
        </w:tc>
      </w:tr>
      <w:tr w14:paraId="50415586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1A02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V1.0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AB63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2026-08-11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1B54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初始版本：模块说明与业务流程文字版</w:t>
            </w:r>
          </w:p>
        </w:tc>
      </w:tr>
      <w:tr w14:paraId="3BC7A95D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F56E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V1.1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A558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2026-08-11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5B6B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补充业务流程表格与模块细化</w:t>
            </w:r>
          </w:p>
        </w:tc>
      </w:tr>
      <w:tr w14:paraId="627E2E0E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0D3D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V2.0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E9C1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2026-08-11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5FC6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新增真实业务流程图，业务流程大白话重写</w:t>
            </w:r>
          </w:p>
        </w:tc>
      </w:tr>
      <w:tr w14:paraId="69E45950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CC6B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V3.0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29BD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2026/8/14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C3D4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按最新代码重做：每个模块业务流程 + 每个子菜单功能说明，覆盖全部9大板块</w:t>
            </w:r>
          </w:p>
        </w:tc>
      </w:tr>
    </w:tbl>
    <w:p w14:paraId="31FB8DE0">
      <w:pPr>
        <w:spacing w:after="60"/>
      </w:pPr>
    </w:p>
    <w:p w14:paraId="2F285F05">
      <w:pPr>
        <w:shd w:val="clear" w:fill="FFFDE7"/>
        <w:spacing w:before="80" w:after="80"/>
      </w:pPr>
      <w:r>
        <w:rPr>
          <w:rFonts w:ascii="微软雅黑" w:hAnsi="微软雅黑" w:eastAsia="微软雅黑" w:cs="微软雅黑"/>
          <w:color w:val="666666"/>
          <w:sz w:val="20"/>
          <w:szCs w:val="20"/>
        </w:rPr>
        <w:t>说明：本版重点改进：依据最新代码中的菜单配置（DataInitializer）完整梳理了9大业务板块的所有子菜单，逐一说明功能，并配以业务流程图。</w:t>
      </w:r>
    </w:p>
    <w:p w14:paraId="36BFF2F6">
      <w:r>
        <w:br w:type="page"/>
      </w:r>
    </w:p>
    <w:sdt>
      <w:sdtPr>
        <w:alias w:val="目录"/>
        <w:id w:val="147456392"/>
      </w:sdtPr>
      <w:sdtContent>
        <w:p w14:paraId="73EA03F9">
          <w:r>
            <w:fldChar w:fldCharType="begin"/>
          </w:r>
          <w:r>
            <w:instrText xml:space="preserve">TOC \h \o "1-3" \t "undefined,0,undefined,1,undefined,2"</w:instrText>
          </w:r>
          <w:r>
            <w:fldChar w:fldCharType="separate"/>
          </w:r>
          <w:r>
            <w:rPr>
              <w:b/>
            </w:rPr>
            <w:t>错误！未找到目录项。</w:t>
          </w:r>
          <w:r>
            <w:fldChar w:fldCharType="end"/>
          </w:r>
        </w:p>
      </w:sdtContent>
    </w:sdt>
    <w:p w14:paraId="1B8F322A">
      <w:pPr>
        <w:spacing w:before="300" w:after="200"/>
      </w:pPr>
      <w:r>
        <w:rPr>
          <w:rFonts w:ascii="微软雅黑" w:hAnsi="微软雅黑" w:eastAsia="微软雅黑" w:cs="微软雅黑"/>
          <w:color w:val="C00000"/>
          <w:sz w:val="20"/>
          <w:szCs w:val="20"/>
        </w:rPr>
        <w:t>（提示：打开文档后，右键本页目录 → 更新域 → 更新整个目录，即可显示完整页码。）</w:t>
      </w:r>
    </w:p>
    <w:sdt>
      <w:sdtPr>
        <w:rPr>
          <w:rFonts w:ascii="宋体" w:hAnsi="宋体" w:eastAsia="宋体" w:cs="微软雅黑"/>
          <w:sz w:val="21"/>
          <w:szCs w:val="22"/>
        </w:rPr>
        <w:id w:val="147456232"/>
        <w15:color w:val="DBDBDB"/>
        <w:docPartObj>
          <w:docPartGallery w:val="Table of Contents"/>
          <w:docPartUnique/>
        </w:docPartObj>
      </w:sdtPr>
      <w:sdtContent>
        <w:p w14:paraId="7784A24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E69DF79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_Toc14844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文档修订记录</w:t>
          </w:r>
          <w:r>
            <w:tab/>
          </w:r>
          <w:r>
            <w:fldChar w:fldCharType="begin"/>
          </w:r>
          <w:r>
            <w:instrText xml:space="preserve"> PAGEREF _Toc14844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E734227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_Toc7260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2"/>
            </w:rPr>
            <w:t>一、项目概述</w:t>
          </w:r>
          <w:r>
            <w:tab/>
          </w:r>
          <w:r>
            <w:fldChar w:fldCharType="begin"/>
          </w:r>
          <w:r>
            <w:instrText xml:space="preserve"> PAGEREF _Toc7260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EF916FB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_Toc13587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1.1 北辰 ERP 是什么</w:t>
          </w:r>
          <w:r>
            <w:tab/>
          </w:r>
          <w:r>
            <w:fldChar w:fldCharType="begin"/>
          </w:r>
          <w:r>
            <w:instrText xml:space="preserve"> PAGEREF _Toc13587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8ED03F2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_Toc11607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1.2 系统整体结构</w:t>
          </w:r>
          <w:r>
            <w:tab/>
          </w:r>
          <w:r>
            <w:fldChar w:fldCharType="begin"/>
          </w:r>
          <w:r>
            <w:instrText xml:space="preserve"> PAGEREF _Toc11607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1E62526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_Toc14209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1.3 技术栈</w:t>
          </w:r>
          <w:r>
            <w:tab/>
          </w:r>
          <w:r>
            <w:fldChar w:fldCharType="begin"/>
          </w:r>
          <w:r>
            <w:instrText xml:space="preserve"> PAGEREF _Toc14209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B658659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_Toc20881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2"/>
            </w:rPr>
            <w:t>二、核心业务流程总览</w:t>
          </w:r>
          <w:r>
            <w:tab/>
          </w:r>
          <w:r>
            <w:fldChar w:fldCharType="begin"/>
          </w:r>
          <w:r>
            <w:instrText xml:space="preserve"> PAGEREF _Toc20881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B79DA1D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_Toc25957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2.1 单据通用状态流转（所有单据通用）</w:t>
          </w:r>
          <w:r>
            <w:tab/>
          </w:r>
          <w:r>
            <w:fldChar w:fldCharType="begin"/>
          </w:r>
          <w:r>
            <w:instrText xml:space="preserve"> PAGEREF _Toc25957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478C1BD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_Toc8400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2"/>
            </w:rPr>
            <w:t>十一、系统关键设计</w:t>
          </w:r>
          <w:r>
            <w:tab/>
          </w:r>
          <w:r>
            <w:fldChar w:fldCharType="begin"/>
          </w:r>
          <w:r>
            <w:instrText xml:space="preserve"> PAGEREF _Toc8400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909E642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_Toc29447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2"/>
            </w:rPr>
            <w:t>十二、后续规划</w:t>
          </w:r>
          <w:r>
            <w:tab/>
          </w:r>
          <w:r>
            <w:fldChar w:fldCharType="begin"/>
          </w:r>
          <w:r>
            <w:instrText xml:space="preserve"> PAGEREF _Toc29447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8AF6830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_Toc29552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2"/>
            </w:rPr>
            <w:t>三、基础数据模块</w:t>
          </w:r>
          <w:r>
            <w:tab/>
          </w:r>
          <w:r>
            <w:fldChar w:fldCharType="begin"/>
          </w:r>
          <w:r>
            <w:instrText xml:space="preserve"> PAGEREF _Toc29552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CBBA227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_Toc16318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3.1 业务流程</w:t>
          </w:r>
          <w:r>
            <w:tab/>
          </w:r>
          <w:r>
            <w:fldChar w:fldCharType="begin"/>
          </w:r>
          <w:r>
            <w:instrText xml:space="preserve"> PAGEREF _Toc16318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A8F20C9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_Toc6695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3.2 子菜单功能</w:t>
          </w:r>
          <w:r>
            <w:tab/>
          </w:r>
          <w:r>
            <w:fldChar w:fldCharType="begin"/>
          </w:r>
          <w:r>
            <w:instrText xml:space="preserve"> PAGEREF _Toc6695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DDA22E3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_Toc5406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2"/>
            </w:rPr>
            <w:t>四、研发管理模块</w:t>
          </w:r>
          <w:r>
            <w:tab/>
          </w:r>
          <w:r>
            <w:fldChar w:fldCharType="begin"/>
          </w:r>
          <w:r>
            <w:instrText xml:space="preserve"> PAGEREF _Toc5406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E147DC7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_Toc27920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4.1 业务流程</w:t>
          </w:r>
          <w:r>
            <w:tab/>
          </w:r>
          <w:r>
            <w:fldChar w:fldCharType="begin"/>
          </w:r>
          <w:r>
            <w:instrText xml:space="preserve"> PAGEREF _Toc27920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F3B2F46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_Toc5223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4.2 子菜单功能</w:t>
          </w:r>
          <w:r>
            <w:tab/>
          </w:r>
          <w:r>
            <w:fldChar w:fldCharType="begin"/>
          </w:r>
          <w:r>
            <w:instrText xml:space="preserve"> PAGEREF _Toc5223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E9ED365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_Toc13261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2"/>
            </w:rPr>
            <w:t>五、委外加工模块</w:t>
          </w:r>
          <w:r>
            <w:tab/>
          </w:r>
          <w:r>
            <w:fldChar w:fldCharType="begin"/>
          </w:r>
          <w:r>
            <w:instrText xml:space="preserve"> PAGEREF _Toc13261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AF02840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_Toc27784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5.1 业务流程</w:t>
          </w:r>
          <w:r>
            <w:tab/>
          </w:r>
          <w:r>
            <w:fldChar w:fldCharType="begin"/>
          </w:r>
          <w:r>
            <w:instrText xml:space="preserve"> PAGEREF _Toc27784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8E28A56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_Toc14340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5.2 子菜单功能</w:t>
          </w:r>
          <w:r>
            <w:tab/>
          </w:r>
          <w:r>
            <w:fldChar w:fldCharType="begin"/>
          </w:r>
          <w:r>
            <w:instrText xml:space="preserve"> PAGEREF _Toc14340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98500E7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_Toc1338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2"/>
            </w:rPr>
            <w:t>六、进货业务模块</w:t>
          </w:r>
          <w:r>
            <w:tab/>
          </w:r>
          <w:r>
            <w:fldChar w:fldCharType="begin"/>
          </w:r>
          <w:r>
            <w:instrText xml:space="preserve"> PAGEREF _Toc1338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E9763E8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_Toc7303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6.1 业务流程</w:t>
          </w:r>
          <w:r>
            <w:tab/>
          </w:r>
          <w:r>
            <w:fldChar w:fldCharType="begin"/>
          </w:r>
          <w:r>
            <w:instrText xml:space="preserve"> PAGEREF _Toc7303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4CA1E8E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_Toc28674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6.2 子菜单功能</w:t>
          </w:r>
          <w:r>
            <w:tab/>
          </w:r>
          <w:r>
            <w:fldChar w:fldCharType="begin"/>
          </w:r>
          <w:r>
            <w:instrText xml:space="preserve"> PAGEREF _Toc28674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23C09DE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_Toc9949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2"/>
            </w:rPr>
            <w:t>七、销售业务模块</w:t>
          </w:r>
          <w:r>
            <w:tab/>
          </w:r>
          <w:r>
            <w:fldChar w:fldCharType="begin"/>
          </w:r>
          <w:r>
            <w:instrText xml:space="preserve"> PAGEREF _Toc9949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69CAD40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_Toc13842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7.1 业务流程</w:t>
          </w:r>
          <w:r>
            <w:tab/>
          </w:r>
          <w:r>
            <w:fldChar w:fldCharType="begin"/>
          </w:r>
          <w:r>
            <w:instrText xml:space="preserve"> PAGEREF _Toc13842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24A4C96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_Toc22035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7.2 子菜单功能</w:t>
          </w:r>
          <w:r>
            <w:tab/>
          </w:r>
          <w:r>
            <w:fldChar w:fldCharType="begin"/>
          </w:r>
          <w:r>
            <w:instrText xml:space="preserve"> PAGEREF _Toc22035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0F50722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_Toc4706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2"/>
            </w:rPr>
            <w:t>八、成品库存业务模块</w:t>
          </w:r>
          <w:r>
            <w:tab/>
          </w:r>
          <w:r>
            <w:fldChar w:fldCharType="begin"/>
          </w:r>
          <w:r>
            <w:instrText xml:space="preserve"> PAGEREF _Toc4706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0800B5D3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_Toc14577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8.1 业务流程</w:t>
          </w:r>
          <w:r>
            <w:tab/>
          </w:r>
          <w:r>
            <w:fldChar w:fldCharType="begin"/>
          </w:r>
          <w:r>
            <w:instrText xml:space="preserve"> PAGEREF _Toc14577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FEECC46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_Toc24960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8.2 子菜单功能</w:t>
          </w:r>
          <w:r>
            <w:tab/>
          </w:r>
          <w:r>
            <w:fldChar w:fldCharType="begin"/>
          </w:r>
          <w:r>
            <w:instrText xml:space="preserve"> PAGEREF _Toc24960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24957D65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_Toc18190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2"/>
            </w:rPr>
            <w:t>九、财务管理模块</w:t>
          </w:r>
          <w:r>
            <w:tab/>
          </w:r>
          <w:r>
            <w:fldChar w:fldCharType="begin"/>
          </w:r>
          <w:r>
            <w:instrText xml:space="preserve"> PAGEREF _Toc18190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244C7AD1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_Toc7394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9.1 业务流程</w:t>
          </w:r>
          <w:r>
            <w:tab/>
          </w:r>
          <w:r>
            <w:fldChar w:fldCharType="begin"/>
          </w:r>
          <w:r>
            <w:instrText xml:space="preserve"> PAGEREF _Toc7394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06910F2C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_Toc23387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9.2 子菜单功能</w:t>
          </w:r>
          <w:r>
            <w:tab/>
          </w:r>
          <w:r>
            <w:fldChar w:fldCharType="begin"/>
          </w:r>
          <w:r>
            <w:instrText xml:space="preserve"> PAGEREF _Toc23387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759E4AA9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_Toc9664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32"/>
            </w:rPr>
            <w:t>十、设置模块（系统管理）</w:t>
          </w:r>
          <w:r>
            <w:tab/>
          </w:r>
          <w:r>
            <w:fldChar w:fldCharType="begin"/>
          </w:r>
          <w:r>
            <w:instrText xml:space="preserve"> PAGEREF _Toc9664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DFC2E72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_Toc9237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10.1 业务流程</w:t>
          </w:r>
          <w:r>
            <w:tab/>
          </w:r>
          <w:r>
            <w:fldChar w:fldCharType="begin"/>
          </w:r>
          <w:r>
            <w:instrText xml:space="preserve"> PAGEREF _Toc9237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6857960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_Toc956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bCs/>
              <w:szCs w:val="28"/>
            </w:rPr>
            <w:t>10.2 子菜单功能</w:t>
          </w:r>
          <w:r>
            <w:tab/>
          </w:r>
          <w:r>
            <w:fldChar w:fldCharType="begin"/>
          </w:r>
          <w:r>
            <w:instrText xml:space="preserve"> PAGEREF _Toc956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569D8CF">
          <w:r>
            <w:fldChar w:fldCharType="end"/>
          </w:r>
        </w:p>
      </w:sdtContent>
    </w:sdt>
    <w:p w14:paraId="5755E59F">
      <w:bookmarkStart w:id="33" w:name="_GoBack"/>
      <w:bookmarkEnd w:id="33"/>
    </w:p>
    <w:p w14:paraId="1A5D37FC">
      <w:r>
        <w:br w:type="page"/>
      </w:r>
    </w:p>
    <w:p w14:paraId="0DD7E571">
      <w:pPr>
        <w:pStyle w:val="2"/>
      </w:pPr>
      <w:bookmarkStart w:id="1" w:name="_Toc7260"/>
      <w:r>
        <w:rPr>
          <w:rFonts w:ascii="微软雅黑" w:hAnsi="微软雅黑" w:eastAsia="微软雅黑" w:cs="微软雅黑"/>
          <w:b/>
          <w:bCs/>
          <w:color w:val="2E75B6"/>
          <w:sz w:val="32"/>
          <w:szCs w:val="32"/>
        </w:rPr>
        <w:t>一、项目概述</w:t>
      </w:r>
      <w:bookmarkEnd w:id="1"/>
    </w:p>
    <w:p w14:paraId="729D9E64">
      <w:pPr>
        <w:pStyle w:val="3"/>
      </w:pPr>
      <w:bookmarkStart w:id="2" w:name="_Toc13587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1.1 北辰 ERP 是什么</w:t>
      </w:r>
      <w:bookmarkEnd w:id="2"/>
    </w:p>
    <w:p w14:paraId="5B5AC1F5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北辰 ERP 是一款面向屏幕总成加工行业的企业资源管理系统。它把公司的核心业务——从研发设计、物料采购、委外加工、成品入库、销售出库到财务收钱付款——全部串成一条线，做到每一笔钱、每一件货都有据可查。</w:t>
      </w:r>
    </w:p>
    <w:p w14:paraId="26E21B29">
      <w:pPr>
        <w:spacing w:after="120" w:line="360" w:lineRule="auto"/>
      </w:pPr>
      <w:r>
        <w:rPr>
          <w:rFonts w:ascii="微软雅黑" w:hAnsi="微软雅黑" w:eastAsia="微软雅黑" w:cs="微软雅黑"/>
          <w:b/>
          <w:bCs/>
          <w:sz w:val="22"/>
          <w:szCs w:val="22"/>
        </w:rPr>
        <w:t>简单来说，北辰 ERP 要解决三个问题：</w:t>
      </w:r>
    </w:p>
    <w:p w14:paraId="13001CAD">
      <w:pPr>
        <w:pStyle w:val="18"/>
        <w:numPr>
          <w:ilvl w:val="0"/>
          <w:numId w:val="1"/>
        </w:numPr>
        <w:spacing w:after="6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货在哪里：实时知道每个仓库里有什么产品、有多少、品质等级如何。</w:t>
      </w:r>
    </w:p>
    <w:p w14:paraId="06591D3D">
      <w:pPr>
        <w:pStyle w:val="18"/>
        <w:numPr>
          <w:ilvl w:val="0"/>
          <w:numId w:val="1"/>
        </w:numPr>
        <w:spacing w:after="6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钱在哪里：清楚每一单采购欠供应商多少、每一笔销售客户欠多少、已收已付了多少。</w:t>
      </w:r>
    </w:p>
    <w:p w14:paraId="006638FD">
      <w:pPr>
        <w:pStyle w:val="18"/>
        <w:numPr>
          <w:ilvl w:val="0"/>
          <w:numId w:val="1"/>
        </w:numPr>
        <w:spacing w:after="6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事到哪里：研发项目有没有延期、委外加工进度如何、单据有没有审核、下一步该做什么。</w:t>
      </w:r>
    </w:p>
    <w:p w14:paraId="1CEE9DFB">
      <w:pPr>
        <w:pStyle w:val="3"/>
      </w:pPr>
      <w:bookmarkStart w:id="3" w:name="_Toc11607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1.2 系统整体结构</w:t>
      </w:r>
      <w:bookmarkEnd w:id="3"/>
    </w:p>
    <w:p w14:paraId="379C94FB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系统按业务板块划分为 9 大模块，每个板块下挂若干子菜单，对应一项具体的业务功能。完整菜单结构如下：</w:t>
      </w:r>
    </w:p>
    <w:tbl>
      <w:tblPr>
        <w:tblStyle w:val="13"/>
        <w:tblW w:w="5000" w:type="pct"/>
        <w:tblInd w:w="0" w:type="dxa"/>
        <w:tblBorders>
          <w:top w:val="single" w:color="CCCCCC" w:sz="0" w:space="0"/>
          <w:left w:val="single" w:color="CCCCCC" w:sz="0" w:space="0"/>
          <w:bottom w:val="single" w:color="CCCCCC" w:sz="0" w:space="0"/>
          <w:right w:val="single" w:color="CCCCCC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85"/>
        <w:gridCol w:w="7037"/>
      </w:tblGrid>
      <w:tr w14:paraId="1C4E25E4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045F4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子菜单</w:t>
            </w:r>
          </w:p>
        </w:tc>
        <w:tc>
          <w:tcPr>
            <w:tcW w:w="39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4E542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功能说明</w:t>
            </w:r>
          </w:p>
        </w:tc>
      </w:tr>
      <w:tr w14:paraId="5834478E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528221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首页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F556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系统工作台，展示关键经营概览数据</w:t>
            </w:r>
          </w:p>
        </w:tc>
      </w:tr>
      <w:tr w14:paraId="6340D821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7F39C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基础数据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EAEE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产品管理、品牌管理、BOM类型、阶段模板——业务运行所需的主数据</w:t>
            </w:r>
          </w:p>
        </w:tc>
      </w:tr>
      <w:tr w14:paraId="3417A19D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D3910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研发管理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B601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研发项目、BOM管理、图纸文档、研发物料管理</w:t>
            </w:r>
          </w:p>
        </w:tc>
      </w:tr>
      <w:tr w14:paraId="53599B4F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F177A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委外加工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9DA6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委外加工单、委外物料订单、物料信息管理、委外仓库、加工合同模板、物料收发单、物料其他出入库、委外退货、供应商管理、自有物料仓</w:t>
            </w:r>
          </w:p>
        </w:tc>
      </w:tr>
      <w:tr w14:paraId="2AC66BBC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B70D3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进货业务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3F58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成品采购单、成品退货单、供应商管理</w:t>
            </w:r>
          </w:p>
        </w:tc>
      </w:tr>
      <w:tr w14:paraId="17D19251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C4A18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销售业务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3DAB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销售单、客户管理、销售退货单、收费售后</w:t>
            </w:r>
          </w:p>
        </w:tc>
      </w:tr>
      <w:tr w14:paraId="43A3B748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1C047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成品库存业务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CAB2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成品库存、成品仓库管理、成品库存流水、成品其他出入库、成品品质重分类、成品移仓单</w:t>
            </w:r>
          </w:p>
        </w:tc>
      </w:tr>
      <w:tr w14:paraId="00056B27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87AC7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财务管理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348B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应收管理、应付管理、账单生成、资金流水、收款管理、付款管理</w:t>
            </w:r>
          </w:p>
        </w:tc>
      </w:tr>
      <w:tr w14:paraId="2E38C290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C906A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设置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F4F4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智能管理、用户管理、权限管理、系统信息、数据管理、角色管理、菜单管理、清空数据</w:t>
            </w:r>
          </w:p>
        </w:tc>
      </w:tr>
    </w:tbl>
    <w:p w14:paraId="5AD50B17">
      <w:pPr>
        <w:pStyle w:val="3"/>
      </w:pPr>
      <w:bookmarkStart w:id="4" w:name="_Toc14209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1.3 技术栈</w:t>
      </w:r>
      <w:bookmarkEnd w:id="4"/>
    </w:p>
    <w:tbl>
      <w:tblPr>
        <w:tblStyle w:val="13"/>
        <w:tblW w:w="5000" w:type="pct"/>
        <w:tblInd w:w="0" w:type="dxa"/>
        <w:tblBorders>
          <w:top w:val="single" w:color="CCCCCC" w:sz="0" w:space="0"/>
          <w:left w:val="single" w:color="CCCCCC" w:sz="0" w:space="0"/>
          <w:bottom w:val="single" w:color="CCCCCC" w:sz="0" w:space="0"/>
          <w:right w:val="single" w:color="CCCCCC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26"/>
        <w:gridCol w:w="6496"/>
      </w:tblGrid>
      <w:tr w14:paraId="61214F92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B5AD5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前端</w:t>
            </w:r>
          </w:p>
        </w:tc>
        <w:tc>
          <w:tcPr>
            <w:tcW w:w="36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1CF9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Vue3 + Element Plus + Vite</w:t>
            </w:r>
          </w:p>
        </w:tc>
      </w:tr>
      <w:tr w14:paraId="326C602C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48F56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后端</w:t>
            </w:r>
          </w:p>
        </w:tc>
        <w:tc>
          <w:tcPr>
            <w:tcW w:w="36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8405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SpringBoot 3.2.5 + Java 21 + MyBatis-Plus 3.5.5 + Sa-Token</w:t>
            </w:r>
          </w:p>
        </w:tc>
      </w:tr>
      <w:tr w14:paraId="621CA7BF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C0D11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数据库</w:t>
            </w:r>
          </w:p>
        </w:tc>
        <w:tc>
          <w:tcPr>
            <w:tcW w:w="36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999C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MySQL 8</w:t>
            </w:r>
          </w:p>
        </w:tc>
      </w:tr>
      <w:tr w14:paraId="7A6E0874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8F4A8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部署</w:t>
            </w:r>
          </w:p>
        </w:tc>
        <w:tc>
          <w:tcPr>
            <w:tcW w:w="36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7C73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前后端分离，后端端口 8080（前缀 /api），前端端口 5173</w:t>
            </w:r>
          </w:p>
        </w:tc>
      </w:tr>
    </w:tbl>
    <w:p w14:paraId="603C5F9C">
      <w:r>
        <w:br w:type="page"/>
      </w:r>
    </w:p>
    <w:p w14:paraId="48B5C475">
      <w:pPr>
        <w:pStyle w:val="2"/>
      </w:pPr>
      <w:bookmarkStart w:id="5" w:name="_Toc20881"/>
      <w:r>
        <w:rPr>
          <w:rFonts w:ascii="微软雅黑" w:hAnsi="微软雅黑" w:eastAsia="微软雅黑" w:cs="微软雅黑"/>
          <w:b/>
          <w:bCs/>
          <w:color w:val="2E75B6"/>
          <w:sz w:val="32"/>
          <w:szCs w:val="32"/>
        </w:rPr>
        <w:t>二、核心业务流程总览</w:t>
      </w:r>
      <w:bookmarkEnd w:id="5"/>
    </w:p>
    <w:p w14:paraId="75FFFC94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先放一张总图，让大家对公司业务在系统里怎么跑起来有个整体印象。</w:t>
      </w:r>
    </w:p>
    <w:p w14:paraId="576F3018">
      <w:pPr>
        <w:spacing w:before="120" w:after="120"/>
        <w:jc w:val="center"/>
      </w:pPr>
      <w:r>
        <w:drawing>
          <wp:inline distT="0" distB="0" distL="0" distR="0">
            <wp:extent cx="5334000" cy="15240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980A">
      <w:pPr>
        <w:spacing w:after="120" w:line="360" w:lineRule="auto"/>
      </w:pPr>
    </w:p>
    <w:p w14:paraId="0AE12696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业务主线只有一条：研发设计产品 → 采购物料 → 发给代工厂加工 → 收回成品入库 → 销售发货 → 财务收钱付款。</w:t>
      </w:r>
    </w:p>
    <w:p w14:paraId="72988FFC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每条线上都有系统自动生成的单据和记录，环环相扣，避免人工漏记、错记。</w:t>
      </w:r>
    </w:p>
    <w:p w14:paraId="5CBD0A79">
      <w:pPr>
        <w:pStyle w:val="3"/>
      </w:pPr>
      <w:bookmarkStart w:id="6" w:name="_Toc25957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2.1 单据通用状态流转（所有单据通用）</w:t>
      </w:r>
      <w:bookmarkEnd w:id="6"/>
    </w:p>
    <w:p w14:paraId="6080D84A">
      <w:pPr>
        <w:spacing w:before="120" w:after="120"/>
        <w:jc w:val="center"/>
      </w:pPr>
      <w:r>
        <w:drawing>
          <wp:inline distT="0" distB="0" distL="0" distR="0">
            <wp:extent cx="5334000" cy="12382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A55D7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通俗理解：任何单据都从「草稿」开始，审核后正式生效并触发库存/财务变动；出错可「反审核」退回或「作废」作废。这与传统纸质单据的签批流程一致，便于管理层理解。</w:t>
      </w:r>
    </w:p>
    <w:p w14:paraId="75356259">
      <w:r>
        <w:br w:type="page"/>
      </w:r>
    </w:p>
    <w:p w14:paraId="77083580">
      <w:pPr>
        <w:pStyle w:val="2"/>
      </w:pPr>
      <w:bookmarkStart w:id="7" w:name="_Toc8400"/>
      <w:r>
        <w:rPr>
          <w:rFonts w:ascii="微软雅黑" w:hAnsi="微软雅黑" w:eastAsia="微软雅黑" w:cs="微软雅黑"/>
          <w:b/>
          <w:bCs/>
          <w:color w:val="2E75B6"/>
          <w:sz w:val="32"/>
          <w:szCs w:val="32"/>
        </w:rPr>
        <w:t>十一、系统关键设计</w:t>
      </w:r>
      <w:bookmarkEnd w:id="7"/>
    </w:p>
    <w:p w14:paraId="20AE14B2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为了让系统稳定、安全、可扩展，我们在设计上做了以下关键选择：</w:t>
      </w:r>
    </w:p>
    <w:tbl>
      <w:tblPr>
        <w:tblStyle w:val="13"/>
        <w:tblW w:w="5000" w:type="pct"/>
        <w:tblInd w:w="0" w:type="dxa"/>
        <w:tblBorders>
          <w:top w:val="single" w:color="CCCCCC" w:sz="0" w:space="0"/>
          <w:left w:val="single" w:color="CCCCCC" w:sz="0" w:space="0"/>
          <w:bottom w:val="single" w:color="CCCCCC" w:sz="0" w:space="0"/>
          <w:right w:val="single" w:color="CCCCCC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99"/>
        <w:gridCol w:w="7623"/>
      </w:tblGrid>
      <w:tr w14:paraId="2FDFEBF1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3F183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设计点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4D6D6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14:paraId="022B0218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4CD6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多公司隔离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CE87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CompanyContext + MyBatis-Plus 多租户插件，不同公司数据完全隔离</w:t>
            </w:r>
          </w:p>
        </w:tc>
      </w:tr>
      <w:tr w14:paraId="17F2122F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4301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权限控制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309C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RBAC模型：用户-角色-菜单，前端路由守卫 + 后端 Sa-Token 注解双重校验</w:t>
            </w:r>
          </w:p>
        </w:tc>
      </w:tr>
      <w:tr w14:paraId="3C4B1384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1BB3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数据安全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4C16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密码 BCrypt 加密；业务单据用 status 状态管理生命周期；用户表使用逻辑删除</w:t>
            </w:r>
          </w:p>
        </w:tc>
      </w:tr>
      <w:tr w14:paraId="1F7F5988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60F5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库存安全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08C4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所有库存变动加 @Transactional 事务，避免部分成功导致账实不符</w:t>
            </w:r>
          </w:p>
        </w:tc>
      </w:tr>
      <w:tr w14:paraId="33CBBC66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5D7D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审计链路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AED4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库存流水 + 资金流水 + 物料收发单强关联，追溯到原始单据</w:t>
            </w:r>
          </w:p>
        </w:tc>
      </w:tr>
      <w:tr w14:paraId="7B5E164C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979F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存 ID 不存名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02ED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明细表只存关联 ID，展示时关联查询名称，避免数据冗余和不一致</w:t>
            </w:r>
          </w:p>
        </w:tc>
      </w:tr>
      <w:tr w14:paraId="0509A1A7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FB0C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平滑升级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3E03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DataInitializer 启动时检测表/列是否存在，支持旧库无停机升级</w:t>
            </w:r>
          </w:p>
        </w:tc>
      </w:tr>
    </w:tbl>
    <w:p w14:paraId="739FA6B6">
      <w:r>
        <w:br w:type="page"/>
      </w:r>
    </w:p>
    <w:p w14:paraId="69801F74">
      <w:pPr>
        <w:pStyle w:val="2"/>
      </w:pPr>
      <w:bookmarkStart w:id="8" w:name="_Toc29447"/>
      <w:r>
        <w:rPr>
          <w:rFonts w:ascii="微软雅黑" w:hAnsi="微软雅黑" w:eastAsia="微软雅黑" w:cs="微软雅黑"/>
          <w:b/>
          <w:bCs/>
          <w:color w:val="2E75B6"/>
          <w:sz w:val="32"/>
          <w:szCs w:val="32"/>
        </w:rPr>
        <w:t>十二、后续规划</w:t>
      </w:r>
      <w:bookmarkEnd w:id="8"/>
    </w:p>
    <w:p w14:paraId="1D3A3B19">
      <w:pPr>
        <w:pStyle w:val="18"/>
        <w:numPr>
          <w:ilvl w:val="0"/>
          <w:numId w:val="1"/>
        </w:numPr>
        <w:spacing w:after="6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报表中心：采购分析、销售分析、库存周转、利润报表</w:t>
      </w:r>
    </w:p>
    <w:p w14:paraId="0EB679C3">
      <w:pPr>
        <w:pStyle w:val="18"/>
        <w:numPr>
          <w:ilvl w:val="0"/>
          <w:numId w:val="1"/>
        </w:numPr>
        <w:spacing w:after="6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审批流：关键单据支持自定义审批流程</w:t>
      </w:r>
    </w:p>
    <w:p w14:paraId="249E1EE8">
      <w:pPr>
        <w:pStyle w:val="18"/>
        <w:numPr>
          <w:ilvl w:val="0"/>
          <w:numId w:val="1"/>
        </w:numPr>
        <w:spacing w:after="6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移动端：仓库收发货、审批消息移动端处理</w:t>
      </w:r>
    </w:p>
    <w:p w14:paraId="50354E79">
      <w:pPr>
        <w:pStyle w:val="18"/>
        <w:numPr>
          <w:ilvl w:val="0"/>
          <w:numId w:val="1"/>
        </w:numPr>
        <w:spacing w:after="6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供应链协同：与供应商/客户系统对接，自动同步订单和库存</w:t>
      </w:r>
    </w:p>
    <w:p w14:paraId="46150848">
      <w:pPr>
        <w:spacing w:after="60"/>
      </w:pPr>
    </w:p>
    <w:p w14:paraId="201DAF32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以上就是北辰 ERP 的系统架构与业务说明（V3.0）。如需进一步细化某个模块或补充更多流程图，请随时提出。</w:t>
      </w:r>
    </w:p>
    <w:p w14:paraId="1219379C">
      <w:pPr>
        <w:pStyle w:val="2"/>
      </w:pPr>
      <w:bookmarkStart w:id="9" w:name="_Toc29552"/>
      <w:r>
        <w:rPr>
          <w:rFonts w:ascii="微软雅黑" w:hAnsi="微软雅黑" w:eastAsia="微软雅黑" w:cs="微软雅黑"/>
          <w:b/>
          <w:bCs/>
          <w:color w:val="2E75B6"/>
          <w:sz w:val="32"/>
          <w:szCs w:val="32"/>
        </w:rPr>
        <w:t>三、基础数据模块</w:t>
      </w:r>
      <w:bookmarkEnd w:id="9"/>
    </w:p>
    <w:p w14:paraId="4C12160E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基础数据是系统的「字典」，是所有业务模块引用的主数据。先把这些维护好，后面的采购、销售、研发才能正常关联。</w:t>
      </w:r>
    </w:p>
    <w:p w14:paraId="525CFAFF">
      <w:pPr>
        <w:pStyle w:val="3"/>
      </w:pPr>
      <w:bookmarkStart w:id="10" w:name="_Toc16318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3.1 业务流程</w:t>
      </w:r>
      <w:bookmarkEnd w:id="10"/>
    </w:p>
    <w:p w14:paraId="56EDAD14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基础数据不直接产生库存或资金变动，但它是所有业务单据的「源头」：在录入采购单、销售单、BOM 前，必须先在这里建立产品、品牌、BOM类型等主数据，后续单据只需选择，无需重复输入。</w:t>
      </w:r>
    </w:p>
    <w:p w14:paraId="6BD81A1D">
      <w:pPr>
        <w:pStyle w:val="3"/>
      </w:pPr>
      <w:bookmarkStart w:id="11" w:name="_Toc6695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3.2 子菜单功能</w:t>
      </w:r>
      <w:bookmarkEnd w:id="11"/>
    </w:p>
    <w:tbl>
      <w:tblPr>
        <w:tblStyle w:val="13"/>
        <w:tblW w:w="5000" w:type="pct"/>
        <w:tblInd w:w="0" w:type="dxa"/>
        <w:tblBorders>
          <w:top w:val="single" w:color="CCCCCC" w:sz="0" w:space="0"/>
          <w:left w:val="single" w:color="CCCCCC" w:sz="0" w:space="0"/>
          <w:bottom w:val="single" w:color="CCCCCC" w:sz="0" w:space="0"/>
          <w:right w:val="single" w:color="CCCCCC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85"/>
        <w:gridCol w:w="7037"/>
      </w:tblGrid>
      <w:tr w14:paraId="7E194351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F7951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子菜单</w:t>
            </w:r>
          </w:p>
        </w:tc>
        <w:tc>
          <w:tcPr>
            <w:tcW w:w="39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9EDE5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功能说明</w:t>
            </w:r>
          </w:p>
        </w:tc>
      </w:tr>
      <w:tr w14:paraId="0011F174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0AD5C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产品管理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125A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维护成品/物料主数据（名称、规格、单位、分类等），是采购、销售、库存的基础对象</w:t>
            </w:r>
          </w:p>
        </w:tc>
      </w:tr>
      <w:tr w14:paraId="2BAC1DC4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CEB38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品牌管理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9A60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维护品牌主数据，销售和客户可按品牌归类管理</w:t>
            </w:r>
          </w:p>
        </w:tc>
      </w:tr>
      <w:tr w14:paraId="6186405D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00B5D7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BOM类型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FE57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维护物料分类（如玻璃、驱动IC、盖板等），委外物料和研发BOM按此分类</w:t>
            </w:r>
          </w:p>
        </w:tc>
      </w:tr>
      <w:tr w14:paraId="04F5301F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1EFE14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阶段模板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6320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维护研发项目阶段模板（如EVT/DVT/PVT），新建研发项目时可一键套用</w:t>
            </w:r>
          </w:p>
        </w:tc>
      </w:tr>
    </w:tbl>
    <w:p w14:paraId="6EC76D03">
      <w:r>
        <w:br w:type="page"/>
      </w:r>
    </w:p>
    <w:p w14:paraId="01F907F2">
      <w:pPr>
        <w:pStyle w:val="2"/>
      </w:pPr>
      <w:bookmarkStart w:id="12" w:name="_Toc5406"/>
      <w:r>
        <w:rPr>
          <w:rFonts w:ascii="微软雅黑" w:hAnsi="微软雅黑" w:eastAsia="微软雅黑" w:cs="微软雅黑"/>
          <w:b/>
          <w:bCs/>
          <w:color w:val="2E75B6"/>
          <w:sz w:val="32"/>
          <w:szCs w:val="32"/>
        </w:rPr>
        <w:t>四、研发管理模块</w:t>
      </w:r>
      <w:bookmarkEnd w:id="12"/>
    </w:p>
    <w:p w14:paraId="7C291989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研发管理是业务的起点。系统用项目化的方式管理从立项到量产前的全过程。</w:t>
      </w:r>
    </w:p>
    <w:p w14:paraId="785F87EF">
      <w:pPr>
        <w:pStyle w:val="3"/>
      </w:pPr>
      <w:bookmarkStart w:id="13" w:name="_Toc27920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4.1 业务流程</w:t>
      </w:r>
      <w:bookmarkEnd w:id="13"/>
    </w:p>
    <w:p w14:paraId="72234090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新建研发项目（套用阶段模板生成时间线）→ 维护 BOM 用料清单（按 BOM类型分类）→ 上传图纸文档 → 记录研发过程中的缺陷 → 管理研发专用物料。项目完成后可关闭或取消。</w:t>
      </w:r>
    </w:p>
    <w:p w14:paraId="5D74AB59">
      <w:pPr>
        <w:spacing w:before="120" w:after="120"/>
        <w:jc w:val="center"/>
      </w:pPr>
      <w:r>
        <w:drawing>
          <wp:inline distT="0" distB="0" distL="0" distR="0">
            <wp:extent cx="5334000" cy="24765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BAF16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说明：研发输出的 BOM 会直接作为委外加工和采购的用料依据，是连接研发与生产的关键纽带。</w:t>
      </w:r>
    </w:p>
    <w:p w14:paraId="29F9DF71">
      <w:pPr>
        <w:pStyle w:val="3"/>
      </w:pPr>
      <w:bookmarkStart w:id="14" w:name="_Toc5223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4.2 子菜单功能</w:t>
      </w:r>
      <w:bookmarkEnd w:id="14"/>
    </w:p>
    <w:tbl>
      <w:tblPr>
        <w:tblStyle w:val="13"/>
        <w:tblW w:w="5000" w:type="pct"/>
        <w:tblInd w:w="0" w:type="dxa"/>
        <w:tblBorders>
          <w:top w:val="single" w:color="CCCCCC" w:sz="0" w:space="0"/>
          <w:left w:val="single" w:color="CCCCCC" w:sz="0" w:space="0"/>
          <w:bottom w:val="single" w:color="CCCCCC" w:sz="0" w:space="0"/>
          <w:right w:val="single" w:color="CCCCCC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85"/>
        <w:gridCol w:w="7037"/>
      </w:tblGrid>
      <w:tr w14:paraId="4D362DC4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4EFCD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子菜单</w:t>
            </w:r>
          </w:p>
        </w:tc>
        <w:tc>
          <w:tcPr>
            <w:tcW w:w="39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524C2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功能说明</w:t>
            </w:r>
          </w:p>
        </w:tc>
      </w:tr>
      <w:tr w14:paraId="0A3EB610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4C21F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研发项目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313A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管理研发项目全生命周期：基本信息、适配机型、阶段时间线、项目状态（进行中/关闭/取消）</w:t>
            </w:r>
          </w:p>
        </w:tc>
      </w:tr>
      <w:tr w14:paraId="18EB985D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2A1E5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BOM管理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667B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维护物料清单，按 BOM类型分组，记录单套用量、损耗率、版本</w:t>
            </w:r>
          </w:p>
        </w:tc>
      </w:tr>
      <w:tr w14:paraId="19CBD6B1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1FC99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图纸文档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D0D5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管理项目关联的设计图纸、技术文档，支持版本控制</w:t>
            </w:r>
          </w:p>
        </w:tc>
      </w:tr>
      <w:tr w14:paraId="3EE8A1C0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DD518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研发物料管理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AD47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管理研发专用物料（可关联项目，也可独立管理），记录存放位置与品质</w:t>
            </w:r>
          </w:p>
        </w:tc>
      </w:tr>
    </w:tbl>
    <w:p w14:paraId="7E23BB59">
      <w:r>
        <w:br w:type="page"/>
      </w:r>
    </w:p>
    <w:p w14:paraId="2B850B87">
      <w:pPr>
        <w:pStyle w:val="2"/>
      </w:pPr>
      <w:bookmarkStart w:id="15" w:name="_Toc13261"/>
      <w:r>
        <w:rPr>
          <w:rFonts w:ascii="微软雅黑" w:hAnsi="微软雅黑" w:eastAsia="微软雅黑" w:cs="微软雅黑"/>
          <w:b/>
          <w:bCs/>
          <w:color w:val="2E75B6"/>
          <w:sz w:val="32"/>
          <w:szCs w:val="32"/>
        </w:rPr>
        <w:t>五、委外加工模块</w:t>
      </w:r>
      <w:bookmarkEnd w:id="15"/>
    </w:p>
    <w:p w14:paraId="5C2981A9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委外加工是北辰 ERP 最核心、最复杂的业务板块。屏幕总成加工企业通常自己负责研发和接单，把生产环节委托给外协工厂。</w:t>
      </w:r>
    </w:p>
    <w:p w14:paraId="431E43B9">
      <w:pPr>
        <w:pStyle w:val="3"/>
      </w:pPr>
      <w:bookmarkStart w:id="16" w:name="_Toc27784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5.1 业务流程</w:t>
      </w:r>
      <w:bookmarkEnd w:id="16"/>
    </w:p>
    <w:p w14:paraId="5D72B7CE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研发输出 BOM → 创建委外物料订单向供应商买料 → 通过物料收发单把料发给工厂/从工厂收料 → 创建委外加工单委托生产 → 工厂交货（按品质等级入库）→ 有质量问题走售后/退货 → 财务结算料款与加工费。</w:t>
      </w:r>
    </w:p>
    <w:p w14:paraId="3AB1B28E">
      <w:pPr>
        <w:spacing w:before="120" w:after="120"/>
        <w:jc w:val="center"/>
      </w:pPr>
      <w:r>
        <w:drawing>
          <wp:inline distT="0" distB="0" distL="0" distR="0">
            <wp:extent cx="5334000" cy="24765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89E5">
      <w:pPr>
        <w:spacing w:after="120" w:line="360" w:lineRule="auto"/>
      </w:pPr>
    </w:p>
    <w:p w14:paraId="0D17D071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通俗理解：公司出设计，买材料发给代工厂，工厂加工完交回成品（验品质分A/B/C/不良），最后和供应商算材料款、和工厂算加工费。</w:t>
      </w:r>
    </w:p>
    <w:p w14:paraId="6A1A7BBF">
      <w:pPr>
        <w:pStyle w:val="3"/>
      </w:pPr>
      <w:bookmarkStart w:id="17" w:name="_Toc14340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5.2 子菜单功能</w:t>
      </w:r>
      <w:bookmarkEnd w:id="17"/>
    </w:p>
    <w:tbl>
      <w:tblPr>
        <w:tblStyle w:val="13"/>
        <w:tblW w:w="5000" w:type="pct"/>
        <w:tblInd w:w="0" w:type="dxa"/>
        <w:tblBorders>
          <w:top w:val="single" w:color="CCCCCC" w:sz="0" w:space="0"/>
          <w:left w:val="single" w:color="CCCCCC" w:sz="0" w:space="0"/>
          <w:bottom w:val="single" w:color="CCCCCC" w:sz="0" w:space="0"/>
          <w:right w:val="single" w:color="CCCCCC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85"/>
        <w:gridCol w:w="7037"/>
      </w:tblGrid>
      <w:tr w14:paraId="5A1470B7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B58B0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子菜单</w:t>
            </w:r>
          </w:p>
        </w:tc>
        <w:tc>
          <w:tcPr>
            <w:tcW w:w="39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1532D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功能说明</w:t>
            </w:r>
          </w:p>
        </w:tc>
      </w:tr>
      <w:tr w14:paraId="2A14F37D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1F9D9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委外加工单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2A3B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管理委外加工订单，状态流转：待确认→生产中→已完成/已取消</w:t>
            </w:r>
          </w:p>
        </w:tc>
      </w:tr>
      <w:tr w14:paraId="389243B1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C94B1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委外物料订单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DD168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向供应商采购委外所需物料，状态：待确认→收货中→已完成/已取消</w:t>
            </w:r>
          </w:p>
        </w:tc>
      </w:tr>
      <w:tr w14:paraId="6EFFEFC9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48897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物料信息管理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848F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维护委外加工涉及的物料主数据，支持BOM组件嵌套、关联供应商</w:t>
            </w:r>
          </w:p>
        </w:tc>
      </w:tr>
      <w:tr w14:paraId="107C7E96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110AA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委外仓库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9E700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管理外协工厂的库存，可查询委外仓库的库存流水</w:t>
            </w:r>
          </w:p>
        </w:tc>
      </w:tr>
      <w:tr w14:paraId="0BD0399D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EF622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加工合同模板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6568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维护委外加工合同模板，便于快速生成标准合同</w:t>
            </w:r>
          </w:p>
        </w:tc>
      </w:tr>
      <w:tr w14:paraId="21D44CAF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5F1F9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物料收发单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7BFB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管理发料给工厂/从工厂收料，区分良品/不良品，支持维修返还与折现退款</w:t>
            </w:r>
          </w:p>
        </w:tc>
      </w:tr>
      <w:tr w14:paraId="2E841D3D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5154D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物料其他出入库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DEB1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委外场景下的非标出入库（如盘点调整、报废）</w:t>
            </w:r>
          </w:p>
        </w:tc>
      </w:tr>
      <w:tr w14:paraId="6B2C21FD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7E1B8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委外退货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9763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退回加工成品给工厂</w:t>
            </w:r>
          </w:p>
        </w:tc>
      </w:tr>
      <w:tr w14:paraId="2367F5F9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E17D0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供应商管理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ED14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维护委外业务相关的供应商（方案商/加工厂/辅料商）</w:t>
            </w:r>
          </w:p>
        </w:tc>
      </w:tr>
      <w:tr w14:paraId="5A4BDF61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6BBF7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自有物料仓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A9B4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管理公司自有物料仓库（区别于委外工厂仓）</w:t>
            </w:r>
          </w:p>
        </w:tc>
      </w:tr>
    </w:tbl>
    <w:p w14:paraId="4963FFEE">
      <w:r>
        <w:br w:type="page"/>
      </w:r>
    </w:p>
    <w:p w14:paraId="4A0F7629">
      <w:pPr>
        <w:pStyle w:val="2"/>
      </w:pPr>
      <w:bookmarkStart w:id="18" w:name="_Toc1338"/>
      <w:r>
        <w:rPr>
          <w:rFonts w:ascii="微软雅黑" w:hAnsi="微软雅黑" w:eastAsia="微软雅黑" w:cs="微软雅黑"/>
          <w:b/>
          <w:bCs/>
          <w:color w:val="2E75B6"/>
          <w:sz w:val="32"/>
          <w:szCs w:val="32"/>
        </w:rPr>
        <w:t>六、进货业务模块</w:t>
      </w:r>
      <w:bookmarkEnd w:id="18"/>
    </w:p>
    <w:p w14:paraId="0DCEA210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进货业务处理公司向供应商采购成品/原材料，以及对应的退货。</w:t>
      </w:r>
    </w:p>
    <w:p w14:paraId="207CB406">
      <w:pPr>
        <w:pStyle w:val="3"/>
      </w:pPr>
      <w:bookmarkStart w:id="19" w:name="_Toc7303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6.1 业务流程</w:t>
      </w:r>
      <w:bookmarkEnd w:id="19"/>
    </w:p>
    <w:p w14:paraId="06783895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创建成品采购单 → 审核 → 货到做采购入库（库存增加）→ 生成应付；如有问题做成品退货单（库存减少、应付冲减）。</w:t>
      </w:r>
    </w:p>
    <w:p w14:paraId="22BD9C0E">
      <w:pPr>
        <w:spacing w:before="120" w:after="120"/>
        <w:jc w:val="center"/>
      </w:pPr>
      <w:r>
        <w:drawing>
          <wp:inline distT="0" distB="0" distL="0" distR="0">
            <wp:extent cx="5334000" cy="13335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87B8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通俗理解：采购下「成品采购单」→ 领导审核 → 货到验收做入库，库存自动增加，同时系统记下欠供应商的钱（应付）。</w:t>
      </w:r>
    </w:p>
    <w:p w14:paraId="693400C9">
      <w:pPr>
        <w:pStyle w:val="3"/>
      </w:pPr>
      <w:bookmarkStart w:id="20" w:name="_Toc28674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6.2 子菜单功能</w:t>
      </w:r>
      <w:bookmarkEnd w:id="20"/>
    </w:p>
    <w:tbl>
      <w:tblPr>
        <w:tblStyle w:val="13"/>
        <w:tblW w:w="5000" w:type="pct"/>
        <w:tblInd w:w="0" w:type="dxa"/>
        <w:tblBorders>
          <w:top w:val="single" w:color="CCCCCC" w:sz="0" w:space="0"/>
          <w:left w:val="single" w:color="CCCCCC" w:sz="0" w:space="0"/>
          <w:bottom w:val="single" w:color="CCCCCC" w:sz="0" w:space="0"/>
          <w:right w:val="single" w:color="CCCCCC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85"/>
        <w:gridCol w:w="7037"/>
      </w:tblGrid>
      <w:tr w14:paraId="5A65F52D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67527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子菜单</w:t>
            </w:r>
          </w:p>
        </w:tc>
        <w:tc>
          <w:tcPr>
            <w:tcW w:w="39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73537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功能说明</w:t>
            </w:r>
          </w:p>
        </w:tc>
      </w:tr>
      <w:tr w14:paraId="4D8F566F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45C82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成品采购单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94FF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向供应商采购成品的订单，审核后作为入库依据，自动生成应付</w:t>
            </w:r>
          </w:p>
        </w:tc>
      </w:tr>
      <w:tr w14:paraId="0F7474DE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E1162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成品退货单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5F14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向供应商退回成品，审核后库存减少、应付相应冲减</w:t>
            </w:r>
          </w:p>
        </w:tc>
      </w:tr>
      <w:tr w14:paraId="3FB6FB49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7D82F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供应商管理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8C0B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维护进货业务相关的供应商主数据及分类</w:t>
            </w:r>
          </w:p>
        </w:tc>
      </w:tr>
    </w:tbl>
    <w:p w14:paraId="2683A999">
      <w:r>
        <w:br w:type="page"/>
      </w:r>
    </w:p>
    <w:p w14:paraId="09A695F9">
      <w:pPr>
        <w:pStyle w:val="2"/>
      </w:pPr>
      <w:bookmarkStart w:id="21" w:name="_Toc9949"/>
      <w:r>
        <w:rPr>
          <w:rFonts w:ascii="微软雅黑" w:hAnsi="微软雅黑" w:eastAsia="微软雅黑" w:cs="微软雅黑"/>
          <w:b/>
          <w:bCs/>
          <w:color w:val="2E75B6"/>
          <w:sz w:val="32"/>
          <w:szCs w:val="32"/>
        </w:rPr>
        <w:t>七、销售业务模块</w:t>
      </w:r>
      <w:bookmarkEnd w:id="21"/>
    </w:p>
    <w:p w14:paraId="2CCD6CEC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销售业务是公司的收入来源，流程与进货相反。</w:t>
      </w:r>
    </w:p>
    <w:p w14:paraId="40ED68BE">
      <w:pPr>
        <w:pStyle w:val="3"/>
      </w:pPr>
      <w:bookmarkStart w:id="22" w:name="_Toc13842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7.1 业务流程</w:t>
      </w:r>
      <w:bookmarkEnd w:id="22"/>
    </w:p>
    <w:p w14:paraId="1E6F571C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客户下销售单 → 审核时检查库存是否充足 → 做销售出库（库存减少）→ 生成应收；客户退货做销售退货单（库存增加、应收冲减）。</w:t>
      </w:r>
    </w:p>
    <w:p w14:paraId="04CFD482">
      <w:pPr>
        <w:spacing w:before="120" w:after="120"/>
        <w:jc w:val="center"/>
      </w:pPr>
      <w:r>
        <w:drawing>
          <wp:inline distT="0" distB="0" distL="0" distR="0">
            <wp:extent cx="5334000" cy="13335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F7688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通俗理解：客户下「销售单」→ 审核时系统先看仓库有没有货 → 发货出库，库存扣减，同时记客户欠公司的钱（应收）。</w:t>
      </w:r>
    </w:p>
    <w:p w14:paraId="3193C867">
      <w:pPr>
        <w:pStyle w:val="3"/>
      </w:pPr>
      <w:bookmarkStart w:id="23" w:name="_Toc22035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7.2 子菜单功能</w:t>
      </w:r>
      <w:bookmarkEnd w:id="23"/>
    </w:p>
    <w:tbl>
      <w:tblPr>
        <w:tblStyle w:val="13"/>
        <w:tblW w:w="5000" w:type="pct"/>
        <w:tblInd w:w="0" w:type="dxa"/>
        <w:tblBorders>
          <w:top w:val="single" w:color="CCCCCC" w:sz="0" w:space="0"/>
          <w:left w:val="single" w:color="CCCCCC" w:sz="0" w:space="0"/>
          <w:bottom w:val="single" w:color="CCCCCC" w:sz="0" w:space="0"/>
          <w:right w:val="single" w:color="CCCCCC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85"/>
        <w:gridCol w:w="7037"/>
      </w:tblGrid>
      <w:tr w14:paraId="2FD9953D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3AB6E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子菜单</w:t>
            </w:r>
          </w:p>
        </w:tc>
        <w:tc>
          <w:tcPr>
            <w:tcW w:w="39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09DCA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功能说明</w:t>
            </w:r>
          </w:p>
        </w:tc>
      </w:tr>
      <w:tr w14:paraId="6BA1E48B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CC781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销售单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C5AF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向客户销售成品的订单，审核时校验库存，出库后生成应收</w:t>
            </w:r>
          </w:p>
        </w:tc>
      </w:tr>
      <w:tr w14:paraId="04C70417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C19A5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客户管理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1E63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维护客户主数据，可关联品牌</w:t>
            </w:r>
          </w:p>
        </w:tc>
      </w:tr>
      <w:tr w14:paraId="13EA99F9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CD422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销售退货单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DD0A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客户退回成品，审核后库存增加、应收相应冲减</w:t>
            </w:r>
          </w:p>
        </w:tc>
      </w:tr>
      <w:tr w14:paraId="74061575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87C12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收费售后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FF41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处理销售后的收费售后业务（如维修收费）</w:t>
            </w:r>
          </w:p>
        </w:tc>
      </w:tr>
    </w:tbl>
    <w:p w14:paraId="285371E5">
      <w:r>
        <w:br w:type="page"/>
      </w:r>
    </w:p>
    <w:p w14:paraId="5F387995">
      <w:pPr>
        <w:pStyle w:val="2"/>
      </w:pPr>
      <w:bookmarkStart w:id="24" w:name="_Toc4706"/>
      <w:r>
        <w:rPr>
          <w:rFonts w:ascii="微软雅黑" w:hAnsi="微软雅黑" w:eastAsia="微软雅黑" w:cs="微软雅黑"/>
          <w:b/>
          <w:bCs/>
          <w:color w:val="2E75B6"/>
          <w:sz w:val="32"/>
          <w:szCs w:val="32"/>
        </w:rPr>
        <w:t>八、成品库存业务模块</w:t>
      </w:r>
      <w:bookmarkEnd w:id="24"/>
    </w:p>
    <w:p w14:paraId="2D99841B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成品库存业务是公司货物的「大本营」，所有库存变动都在这里汇总和查询。</w:t>
      </w:r>
    </w:p>
    <w:p w14:paraId="54710248">
      <w:pPr>
        <w:pStyle w:val="3"/>
      </w:pPr>
      <w:bookmarkStart w:id="25" w:name="_Toc14577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8.1 业务流程</w:t>
      </w:r>
      <w:bookmarkEnd w:id="25"/>
    </w:p>
    <w:p w14:paraId="76375644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库存是各业务的交汇点：采购入库使其增加、销售出库使其减少、移仓使其在仓库间转移、其他出入库处理盘点/报废、品质重分类处理等级互转。每次变动都记录库存流水。</w:t>
      </w:r>
    </w:p>
    <w:p w14:paraId="16433968">
      <w:pPr>
        <w:spacing w:before="120" w:after="120"/>
        <w:jc w:val="center"/>
      </w:pPr>
      <w:r>
        <w:drawing>
          <wp:inline distT="0" distB="0" distL="0" distR="0">
            <wp:extent cx="5334000" cy="161925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6F60A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通俗理解：库存像一本账，每次变动都要登记原因和对应单据，随时可查「为什么变了、变了多少」。</w:t>
      </w:r>
    </w:p>
    <w:p w14:paraId="59D0CF79">
      <w:pPr>
        <w:pStyle w:val="3"/>
      </w:pPr>
      <w:bookmarkStart w:id="26" w:name="_Toc24960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8.2 子菜单功能</w:t>
      </w:r>
      <w:bookmarkEnd w:id="26"/>
    </w:p>
    <w:tbl>
      <w:tblPr>
        <w:tblStyle w:val="13"/>
        <w:tblW w:w="5000" w:type="pct"/>
        <w:tblInd w:w="0" w:type="dxa"/>
        <w:tblBorders>
          <w:top w:val="single" w:color="CCCCCC" w:sz="0" w:space="0"/>
          <w:left w:val="single" w:color="CCCCCC" w:sz="0" w:space="0"/>
          <w:bottom w:val="single" w:color="CCCCCC" w:sz="0" w:space="0"/>
          <w:right w:val="single" w:color="CCCCCC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85"/>
        <w:gridCol w:w="7037"/>
      </w:tblGrid>
      <w:tr w14:paraId="12E0D398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8EDBD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子菜单</w:t>
            </w:r>
          </w:p>
        </w:tc>
        <w:tc>
          <w:tcPr>
            <w:tcW w:w="39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7FB3B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功能说明</w:t>
            </w:r>
          </w:p>
        </w:tc>
      </w:tr>
      <w:tr w14:paraId="2D652B26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D72B8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成品库存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82FE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实时查询各仓库、各品质等级的成品库存数量</w:t>
            </w:r>
          </w:p>
        </w:tc>
      </w:tr>
      <w:tr w14:paraId="3407013A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656AF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成品仓库管理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DAD6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维护自有成品仓库（名称、地址、联系人等）</w:t>
            </w:r>
          </w:p>
        </w:tc>
      </w:tr>
      <w:tr w14:paraId="68D4071A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65F8C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成品库存流水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1FC3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查看每次库存变动的原因、单据号、前后数量，完整审计</w:t>
            </w:r>
          </w:p>
        </w:tc>
      </w:tr>
      <w:tr w14:paraId="576CC721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9ADE0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成品其他出入库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F397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非标出入库操作（盘点调整、报废等）</w:t>
            </w:r>
          </w:p>
        </w:tc>
      </w:tr>
      <w:tr w14:paraId="0443F037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87334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成品品质重分类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C82E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同一仓库内产品在不同品质等级（A/B/C/不良）间转换</w:t>
            </w:r>
          </w:p>
        </w:tc>
      </w:tr>
      <w:tr w14:paraId="00A9B0B6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86581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成品移仓单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C365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仓库间调拨，审核后自动更新两个仓库库存</w:t>
            </w:r>
          </w:p>
        </w:tc>
      </w:tr>
    </w:tbl>
    <w:p w14:paraId="18068F24">
      <w:r>
        <w:br w:type="page"/>
      </w:r>
    </w:p>
    <w:p w14:paraId="1B6EEF4A">
      <w:pPr>
        <w:pStyle w:val="2"/>
      </w:pPr>
      <w:bookmarkStart w:id="27" w:name="_Toc18190"/>
      <w:r>
        <w:rPr>
          <w:rFonts w:ascii="微软雅黑" w:hAnsi="微软雅黑" w:eastAsia="微软雅黑" w:cs="微软雅黑"/>
          <w:b/>
          <w:bCs/>
          <w:color w:val="2E75B6"/>
          <w:sz w:val="32"/>
          <w:szCs w:val="32"/>
        </w:rPr>
        <w:t>九、财务管理模块</w:t>
      </w:r>
      <w:bookmarkEnd w:id="27"/>
    </w:p>
    <w:p w14:paraId="754BAEE9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财务管理是业务的最后一环，核心是把「应收应付」管清楚、把钱收回来付出去。它和业务单据自动联动，减少人工重复录入。</w:t>
      </w:r>
    </w:p>
    <w:p w14:paraId="7BD98BE7">
      <w:pPr>
        <w:pStyle w:val="3"/>
      </w:pPr>
      <w:bookmarkStart w:id="28" w:name="_Toc7394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9.1 业务流程</w:t>
      </w:r>
      <w:bookmarkEnd w:id="28"/>
    </w:p>
    <w:p w14:paraId="595ADDA8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采购入库审核自动生成应付 → 销售出库审核自动生成应收 → 按供应商/客户汇总生成账单 → 填收款单/付款单冲账 → 每笔资金记入流水 → 清算看板可视化对账。</w:t>
      </w:r>
    </w:p>
    <w:p w14:paraId="19801B6B">
      <w:pPr>
        <w:spacing w:before="120" w:after="120"/>
        <w:jc w:val="center"/>
      </w:pPr>
      <w:r>
        <w:drawing>
          <wp:inline distT="0" distB="0" distL="0" distR="0">
            <wp:extent cx="5334000" cy="161925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F15FE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通俗理解：买货欠供应商（应付）、卖货客户欠我（应收）→ 汇总成账单 → 付款/收款冲账 → 每笔都留记录 → 看板一眼看清谁欠多少、还了多少。</w:t>
      </w:r>
    </w:p>
    <w:p w14:paraId="347B19ED">
      <w:pPr>
        <w:pStyle w:val="3"/>
      </w:pPr>
      <w:bookmarkStart w:id="29" w:name="_Toc23387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9.2 子菜单功能</w:t>
      </w:r>
      <w:bookmarkEnd w:id="29"/>
    </w:p>
    <w:tbl>
      <w:tblPr>
        <w:tblStyle w:val="13"/>
        <w:tblW w:w="5000" w:type="pct"/>
        <w:tblInd w:w="0" w:type="dxa"/>
        <w:tblBorders>
          <w:top w:val="single" w:color="CCCCCC" w:sz="0" w:space="0"/>
          <w:left w:val="single" w:color="CCCCCC" w:sz="0" w:space="0"/>
          <w:bottom w:val="single" w:color="CCCCCC" w:sz="0" w:space="0"/>
          <w:right w:val="single" w:color="CCCCCC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85"/>
        <w:gridCol w:w="7037"/>
      </w:tblGrid>
      <w:tr w14:paraId="6FD00136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28E1FF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子菜单</w:t>
            </w:r>
          </w:p>
        </w:tc>
        <w:tc>
          <w:tcPr>
            <w:tcW w:w="39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13A9E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功能说明</w:t>
            </w:r>
          </w:p>
        </w:tc>
      </w:tr>
      <w:tr w14:paraId="55586B4D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DECFE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应收管理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F78B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管理客户应收账款（来源：销售出库），跟踪催收状态</w:t>
            </w:r>
          </w:p>
        </w:tc>
      </w:tr>
      <w:tr w14:paraId="22942191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FF090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应付管理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A1A2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管理供应商应付账款（来源：采购入库），跟踪付款状态</w:t>
            </w:r>
          </w:p>
        </w:tc>
      </w:tr>
      <w:tr w14:paraId="414B4AB6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7EDBF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账单生成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2E51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按客户/供应商汇总应收应付，生成结算账单</w:t>
            </w:r>
          </w:p>
        </w:tc>
      </w:tr>
      <w:tr w14:paraId="37EDE2A2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17B0E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资金流水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ACAE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记录所有资金变动（收款/付款），完整资金审计链路</w:t>
            </w:r>
          </w:p>
        </w:tc>
      </w:tr>
      <w:tr w14:paraId="0DD5DCC7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04DC4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收款管理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2D50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记录向客户收款，关联应收账单，状态：草稿→已审核</w:t>
            </w:r>
          </w:p>
        </w:tc>
      </w:tr>
      <w:tr w14:paraId="409F533C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1C841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付款管理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CE0D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记录向供应商付款，关联应付账单，状态：草稿→已审核</w:t>
            </w:r>
          </w:p>
        </w:tc>
      </w:tr>
    </w:tbl>
    <w:p w14:paraId="3348DBF2">
      <w:r>
        <w:br w:type="page"/>
      </w:r>
    </w:p>
    <w:p w14:paraId="0824CDEC">
      <w:pPr>
        <w:pStyle w:val="2"/>
      </w:pPr>
      <w:bookmarkStart w:id="30" w:name="_Toc9664"/>
      <w:r>
        <w:rPr>
          <w:rFonts w:ascii="微软雅黑" w:hAnsi="微软雅黑" w:eastAsia="微软雅黑" w:cs="微软雅黑"/>
          <w:b/>
          <w:bCs/>
          <w:color w:val="2E75B6"/>
          <w:sz w:val="32"/>
          <w:szCs w:val="32"/>
        </w:rPr>
        <w:t>十、设置模块（系统管理）</w:t>
      </w:r>
      <w:bookmarkEnd w:id="30"/>
    </w:p>
    <w:p w14:paraId="01FEC972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设置模块保障系统安全、可控、可维护，是系统运行的基础。</w:t>
      </w:r>
    </w:p>
    <w:p w14:paraId="330486A9">
      <w:pPr>
        <w:pStyle w:val="3"/>
      </w:pPr>
      <w:bookmarkStart w:id="31" w:name="_Toc9237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10.1 业务流程</w:t>
      </w:r>
      <w:bookmarkEnd w:id="31"/>
    </w:p>
    <w:p w14:paraId="48054065">
      <w:pPr>
        <w:spacing w:after="120" w:line="360" w:lineRule="auto"/>
      </w:pPr>
      <w:r>
        <w:rPr>
          <w:rFonts w:ascii="微软雅黑" w:hAnsi="微软雅黑" w:eastAsia="微软雅黑" w:cs="微软雅黑"/>
          <w:sz w:val="22"/>
          <w:szCs w:val="22"/>
        </w:rPr>
        <w:t>管理员在「用户管理」创建账号 → 在「角色管理」定义角色并分配「权限管理」中的菜单权限 → 账号绑定角色后即获得对应菜单访问权。系统信息展示运行参数，数据管理用于备份/重置数据。</w:t>
      </w:r>
    </w:p>
    <w:p w14:paraId="5DFB679E">
      <w:pPr>
        <w:pStyle w:val="3"/>
      </w:pPr>
      <w:bookmarkStart w:id="32" w:name="_Toc956"/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10.2 子菜单功能</w:t>
      </w:r>
      <w:bookmarkEnd w:id="32"/>
    </w:p>
    <w:tbl>
      <w:tblPr>
        <w:tblStyle w:val="13"/>
        <w:tblW w:w="5000" w:type="pct"/>
        <w:tblInd w:w="0" w:type="dxa"/>
        <w:tblBorders>
          <w:top w:val="single" w:color="CCCCCC" w:sz="0" w:space="0"/>
          <w:left w:val="single" w:color="CCCCCC" w:sz="0" w:space="0"/>
          <w:bottom w:val="single" w:color="CCCCCC" w:sz="0" w:space="0"/>
          <w:right w:val="single" w:color="CCCCCC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85"/>
        <w:gridCol w:w="7037"/>
      </w:tblGrid>
      <w:tr w14:paraId="10E7BF45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31675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子菜单</w:t>
            </w:r>
          </w:p>
        </w:tc>
        <w:tc>
          <w:tcPr>
            <w:tcW w:w="3900" w:type="pct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6B434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功能说明</w:t>
            </w:r>
          </w:p>
        </w:tc>
      </w:tr>
      <w:tr w14:paraId="3546E3DE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FB970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智能管理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83FDC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系统智能化相关功能（如数据看板配置、智能提示等）</w:t>
            </w:r>
          </w:p>
        </w:tc>
      </w:tr>
      <w:tr w14:paraId="451FF1FB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44264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用户管理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A7AC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维护系统用户账号（多公司、密码加密、逻辑删除）</w:t>
            </w:r>
          </w:p>
        </w:tc>
      </w:tr>
      <w:tr w14:paraId="72D4A122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BB553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权限管理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81C1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基于角色分配菜单权限（RBAC模型），控制谁能看哪些菜单</w:t>
            </w:r>
          </w:p>
        </w:tc>
      </w:tr>
      <w:tr w14:paraId="16D7F07D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0A4A1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系统信息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5112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查看系统运行信息（版本、环境等）</w:t>
            </w:r>
          </w:p>
        </w:tc>
      </w:tr>
      <w:tr w14:paraId="07529491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6040B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数据管理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ADC5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系统数据维护（备份、导出等）</w:t>
            </w:r>
          </w:p>
        </w:tc>
      </w:tr>
      <w:tr w14:paraId="3480FC2C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8AFAD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角色管理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D9A9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维护角色（超管/管理员/普通用户），分配菜单权限</w:t>
            </w:r>
          </w:p>
        </w:tc>
      </w:tr>
      <w:tr w14:paraId="4207580E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010519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菜单管理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5639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维护系统菜单结构（与DataInitializer初始化菜单对应）</w:t>
            </w:r>
          </w:p>
        </w:tc>
      </w:tr>
      <w:tr w14:paraId="6B7131FD">
        <w:tblPrEx>
          <w:tblBorders>
            <w:top w:val="single" w:color="CCCCCC" w:sz="0" w:space="0"/>
            <w:left w:val="single" w:color="CCCCCC" w:sz="0" w:space="0"/>
            <w:bottom w:val="single" w:color="CCCCCC" w:sz="0" w:space="0"/>
            <w:right w:val="single" w:color="CCCCCC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428E2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404040"/>
                <w:sz w:val="20"/>
                <w:szCs w:val="20"/>
              </w:rPr>
              <w:t>清空数据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14C9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404040"/>
                <w:sz w:val="20"/>
                <w:szCs w:val="20"/>
              </w:rPr>
              <w:t>清空业务数据（用于演示或重置，谨慎使用）</w:t>
            </w:r>
          </w:p>
        </w:tc>
      </w:tr>
    </w:tbl>
    <w:p w14:paraId="3FD90E49">
      <w:r>
        <w:br w:type="page"/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63BC6F">
    <w:pPr>
      <w:jc w:val="center"/>
    </w:pPr>
    <w:r>
      <w:rPr>
        <w:rFonts w:ascii="微软雅黑" w:hAnsi="微软雅黑" w:eastAsia="微软雅黑" w:cs="微软雅黑"/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>
      <w:rPr>
        <w:rFonts w:ascii="微软雅黑" w:hAnsi="微软雅黑" w:eastAsia="微软雅黑" w:cs="微软雅黑"/>
        <w:sz w:val="18"/>
        <w:szCs w:val="18"/>
      </w:rPr>
      <w:t xml:space="preserve"> 页 / 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>
      <w:rPr>
        <w:rFonts w:ascii="微软雅黑" w:hAnsi="微软雅黑" w:eastAsia="微软雅黑" w:cs="微软雅黑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A9DE18">
    <w:pPr>
      <w:jc w:val="center"/>
    </w:pPr>
    <w:r>
      <w:rPr>
        <w:rFonts w:ascii="微软雅黑" w:hAnsi="微软雅黑" w:eastAsia="微软雅黑" w:cs="微软雅黑"/>
        <w:color w:val="999999"/>
        <w:sz w:val="18"/>
        <w:szCs w:val="18"/>
      </w:rPr>
      <w:t>北辰 ERP 系统架构与业务说明文档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5468263"/>
    <w:multiLevelType w:val="singleLevel"/>
    <w:tmpl w:val="F5468263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53EE023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uiPriority w:val="0"/>
    <w:pPr>
      <w:spacing w:before="240" w:after="120" w:line="360" w:lineRule="auto"/>
    </w:pPr>
    <w:rPr>
      <w:rFonts w:ascii="微软雅黑" w:hAnsi="微软雅黑" w:eastAsia="微软雅黑" w:cs="微软雅黑"/>
      <w:b/>
      <w:bCs/>
      <w:color w:val="2E75B6"/>
      <w:sz w:val="32"/>
      <w:szCs w:val="32"/>
    </w:rPr>
  </w:style>
  <w:style w:type="paragraph" w:styleId="3">
    <w:name w:val="heading 2"/>
    <w:next w:val="1"/>
    <w:uiPriority w:val="0"/>
    <w:pPr>
      <w:spacing w:before="200" w:after="100" w:line="360" w:lineRule="auto"/>
    </w:pPr>
    <w:rPr>
      <w:rFonts w:ascii="微软雅黑" w:hAnsi="微软雅黑" w:eastAsia="微软雅黑" w:cs="微软雅黑"/>
      <w:b/>
      <w:bCs/>
      <w:color w:val="2E75B6"/>
      <w:sz w:val="28"/>
      <w:szCs w:val="28"/>
    </w:rPr>
  </w:style>
  <w:style w:type="paragraph" w:styleId="4">
    <w:name w:val="heading 3"/>
    <w:next w:val="1"/>
    <w:uiPriority w:val="0"/>
    <w:pPr>
      <w:spacing w:before="160" w:after="80" w:line="360" w:lineRule="auto"/>
    </w:pPr>
    <w:rPr>
      <w:rFonts w:ascii="微软雅黑" w:hAnsi="微软雅黑" w:eastAsia="微软雅黑" w:cs="微软雅黑"/>
      <w:b/>
      <w:bCs/>
      <w:color w:val="404040"/>
      <w:sz w:val="24"/>
      <w:szCs w:val="24"/>
    </w:rPr>
  </w:style>
  <w:style w:type="paragraph" w:styleId="5">
    <w:name w:val="heading 4"/>
    <w:next w:val="1"/>
    <w:qFormat/>
    <w:uiPriority w:val="0"/>
    <w:pPr>
      <w:spacing w:after="120" w:line="360" w:lineRule="auto"/>
    </w:pPr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pPr>
      <w:spacing w:after="120" w:line="360" w:lineRule="auto"/>
    </w:pPr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pPr>
      <w:spacing w:after="120" w:line="360" w:lineRule="auto"/>
    </w:pPr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4">
    <w:name w:val="Default Paragraph Font"/>
    <w:semiHidden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0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toc 1"/>
    <w:basedOn w:val="1"/>
    <w:next w:val="1"/>
    <w:uiPriority w:val="0"/>
  </w:style>
  <w:style w:type="paragraph" w:styleId="10">
    <w:name w:val="footnote text"/>
    <w:link w:val="19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itle"/>
    <w:qFormat/>
    <w:uiPriority w:val="0"/>
    <w:pPr>
      <w:spacing w:after="120" w:line="360" w:lineRule="auto"/>
    </w:pPr>
    <w:rPr>
      <w:rFonts w:ascii="微软雅黑" w:hAnsi="微软雅黑" w:eastAsia="微软雅黑" w:cs="微软雅黑"/>
      <w:sz w:val="56"/>
      <w:szCs w:val="56"/>
    </w:rPr>
  </w:style>
  <w:style w:type="character" w:styleId="15">
    <w:name w:val="endnote reference"/>
    <w:semiHidden/>
    <w:unhideWhenUsed/>
    <w:uiPriority w:val="99"/>
    <w:rPr>
      <w:vertAlign w:val="superscript"/>
    </w:rPr>
  </w:style>
  <w:style w:type="character" w:styleId="16">
    <w:name w:val="Hyperlink"/>
    <w:unhideWhenUsed/>
    <w:uiPriority w:val="99"/>
    <w:rPr>
      <w:color w:val="0563C1"/>
      <w:u w:val="single"/>
    </w:rPr>
  </w:style>
  <w:style w:type="character" w:styleId="17">
    <w:name w:val="footnote reference"/>
    <w:semiHidden/>
    <w:unhideWhenUsed/>
    <w:uiPriority w:val="99"/>
    <w:rPr>
      <w:vertAlign w:val="superscript"/>
    </w:rPr>
  </w:style>
  <w:style w:type="paragraph" w:styleId="18">
    <w:name w:val="List Paragraph"/>
    <w:qFormat/>
    <w:uiPriority w:val="0"/>
    <w:pPr>
      <w:spacing w:after="120" w:line="360" w:lineRule="auto"/>
    </w:pPr>
    <w:rPr>
      <w:rFonts w:ascii="微软雅黑" w:hAnsi="微软雅黑" w:eastAsia="微软雅黑" w:cs="微软雅黑"/>
      <w:sz w:val="22"/>
      <w:szCs w:val="22"/>
    </w:rPr>
  </w:style>
  <w:style w:type="character" w:customStyle="1" w:styleId="19">
    <w:name w:val="Footnote Text Char"/>
    <w:link w:val="10"/>
    <w:semiHidden/>
    <w:unhideWhenUsed/>
    <w:uiPriority w:val="99"/>
    <w:rPr>
      <w:sz w:val="20"/>
      <w:szCs w:val="20"/>
    </w:rPr>
  </w:style>
  <w:style w:type="character" w:customStyle="1" w:styleId="20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19</Pages>
  <Words>1655</Words>
  <Characters>1900</Characters>
  <TotalTime>1</TotalTime>
  <ScaleCrop>false</ScaleCrop>
  <LinksUpToDate>false</LinksUpToDate>
  <CharactersWithSpaces>1973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2026-08-14T13:12:00Z</dcterms:created>
  <dc:creator>北辰ERP项目组</dc:creator>
  <dc:description>面向领导的北辰ERP系统说明文档，含每个模块业务流程与子菜单功能</dc:description>
  <cp:lastModifiedBy>lzda</cp:lastModifiedBy>
  <dcterms:modified xsi:type="dcterms:W3CDTF">2026-08-15T06:54:55Z</dcterms:modified>
  <dc:subject>北辰ERP系统架构、业务流程、模块与子菜单说明</dc:subject>
  <dc:title>北辰ERP系统架构与业务说明文档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eyJoZGlkIjoiODEzZTZlNzMxMDIzMzViZjZhMzVlNjE0YWUyMDA3YTQiLCJ1c2VySWQiOiI4MjU3MTM3ODMifQ==</vt:lpwstr>
  </property>
  <property fmtid="{D5CDD505-2E9C-101B-9397-08002B2CF9AE}" pid="3" name="KSOProductBuildVer">
    <vt:lpwstr>2052-12.1.0.28043</vt:lpwstr>
  </property>
  <property fmtid="{D5CDD505-2E9C-101B-9397-08002B2CF9AE}" pid="4" name="ICV">
    <vt:lpwstr>00119D9F60F24F36A8BC78974A7D54E0_12</vt:lpwstr>
  </property>
</Properties>
</file>