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光电象棋智能车硬件选型说明书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文档说明</w:t>
      </w:r>
      <w:r>
        <w:rPr>
          <w:rFonts w:ascii="Arial" w:hAnsi="Arial" w:eastAsia="等线" w:cs="Arial"/>
          <w:sz w:val="22"/>
        </w:rPr>
        <w:t>：本文档为光电象棋竞赛智能车专属硬件选型方案，基于</w:t>
      </w:r>
      <w:r>
        <w:rPr>
          <w:rFonts w:ascii="Arial" w:hAnsi="Arial" w:eastAsia="等线" w:cs="Arial"/>
          <w:b/>
          <w:sz w:val="22"/>
        </w:rPr>
        <w:t>集成式K230视觉核心+ESP32-S3运动控制</w:t>
      </w:r>
      <w:r>
        <w:rPr>
          <w:rFonts w:ascii="Arial" w:hAnsi="Arial" w:eastAsia="等线" w:cs="Arial"/>
          <w:sz w:val="22"/>
        </w:rPr>
        <w:t>双芯架构，包含所有核心硬件、驱动、电源、传感器、结构辅材，适配赛事尺寸、重量、安全规则，所有选型匹配前期Trae开发Skill架构，可直接用于采购、组装、调试。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适配开发架构</w:t>
      </w:r>
      <w:r>
        <w:rPr>
          <w:rFonts w:ascii="Arial" w:hAnsi="Arial" w:eastAsia="等线" w:cs="Arial"/>
          <w:sz w:val="22"/>
        </w:rPr>
        <w:t>：K230视觉决策Skill + ESP32-S3运动控制Skill全套模块化程序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核心硬件特性</w:t>
      </w:r>
      <w:r>
        <w:rPr>
          <w:rFonts w:ascii="Arial" w:hAnsi="Arial" w:eastAsia="等线" w:cs="Arial"/>
          <w:sz w:val="22"/>
        </w:rPr>
        <w:t>：K230为集成一体化模块，无需拆解，直接上电接线使用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一、核心主控硬件选型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  <w:gridCol w:w="240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b/>
              </w:rPr>
              <w:t>安装位置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AI视觉主控（集成款）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亚博智能 K230 一体化集成核心板（默认MaixPy固件）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棋子识别、图像运算、坐标转换、路径规划、决策输出、串口指令下发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一体化集成设计，无需拆解改装，自带NPU算力，适配赛场视觉识别需求；原生支持摄像头、串口外设，完美匹配视觉决策Skill模块，算力充足、功耗低、稳定性强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车体上层前部，板载摄像头朝向正前方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运动控制主控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ESP32-S3 开发板（Type-C接口、预焊排针）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电机PID调速、航迹推算、舵机控制、传感器数据采集、串口通信、整车运动执行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MicroPython原生适配，定时器、PWM、I2C外设资源充足，专为运动控制开发，响应速度快，完美适配底层运动控制Skill，性价比高、兼容性强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车体上层中部，与K230通过UART相邻连接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二、视觉采集硬件选型</w:t>
      </w:r>
      <w:bookmarkEnd w:id="1"/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三、电机与驱动硬件选型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  <w:gridCol w:w="240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b/>
              </w:rPr>
              <w:t>安装位置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TT编码器电机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TT编码器电机（6V、1:48减速比、AB相霍尔编码器）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四驱行走、差速转向、位移采集，为航迹推算提供脉冲数据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四驱牵引力大、越障能力强；AB相霍尔编码器支持精准测速与定位；同侧并联驱动，控制逻辑与双轮差速一致，代码适配简单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底盘前后左右四个轮轴位置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电机驱动模块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四路智能电机驱动模块（AT8236×4+MCU协处理器，UART/I2C通信）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UART/I2C通信控制4路电机，内置PID调速与编码器读取，输出M1~M4对应四轮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单模块驱动四路电机，内置PID与编码器，大幅简化接线降低故障；单路4A持续电流动力充足；支持TT编码器电机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车体上层中部，靠近电机布置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四、底盘与执行机构硬件选型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  <w:gridCol w:w="240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b/>
              </w:rPr>
              <w:t>安装位置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四驱轮式底盘总成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四驱轮式小车底盘（228×148×102.15mm，65mm橡胶轮，含4×TT编码器电机）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整车承载、四驱差速转向、行走运动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铝合金双层结构稳固，四轮驱动牵引力强、越障好；尺寸符合赛事规格，推棋过程车体姿态稳定，行走平稳不超重、不超尺寸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整车基础结构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二自由度云台支架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亚博智能配套无舵机云台支架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承载摄像头，实现水平、俯仰角度调节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孔位标准化，完美匹配SG90舵机，无需打磨改装，适配云台控制Skill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车体前部上方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数字舵机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SG90M 金属齿数字舵机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驱动云台水平旋转、俯仰升降，实现赛场全景扫描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金属齿耐磨抗造，数字舵机抖动极小，角度控制精准，画面稳定不模糊，适配扫描识别需求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安装于二自由度云台上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推棋挡板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3D打印U型推板（宽度60-80mm，PLA材质）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精准推送棋子，防止棋子偏移、打滑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尺寸适配赛事棋子，重量轻、硬度足够，推棋稳定不失误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车体最前端正中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五、传感器硬件选型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  <w:gridCol w:w="240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b/>
              </w:rPr>
              <w:t>安装位置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六轴姿态传感器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MPU6050 姿态模块（I2C接口）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采集角速度、加速度，姿态融合解算航向角，修正编码器定位漂移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采样频率高、数据稳定，适配姿态融合Skill，有效解决小车长时间行走定位偏差问题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车体几何中心，Z轴朝上、X轴指车头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激光测距传感器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VL53L0X 激光测距模块（Class1安全级）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车头左右障碍物、对方小车距离检测，实现智能避障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功率＜1mW，完全符合赛事安全规则；测距精准、响应快，适配避障Skill，抗光线干扰能力强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车头左右两侧各一个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六、电源系统硬件选型（核心稳定保障）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  <w:gridCol w:w="240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b/>
              </w:rPr>
              <w:t>安装位置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动力锂电池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 7.4V 500mAh 带保护板轻量化锂电池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为全车电机、主控、传感器统一供电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轻量化设计，重量合规不超标；续航覆盖完整赛事时长，带过充过放保护，安全稳定，适配整车功耗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车体上层后部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DC-DC降压模块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5V/2A 同步整流降压模块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7.4V电池电压转为5V，为主控、舵机、传感器供电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同步整流效率高、发热极小、输出稳定，杜绝电压波动导致的主控复位、传感器失效问题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车体上层中部，靠近电池与四路电机驱动模块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电源总开关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迷你船型开关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整车电源通断控制，方便启停调试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体积小巧、安装便捷，适配小车紧凑结构，安全耐用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车体侧面便于操作处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滤波电容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1000μF 16V 电解电容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吸收电机启动电压尖峰，过滤电源干扰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解决电机工作干扰导致的视觉、主控死机问题，大幅提升整车稳定性，竞赛必备配件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就近并联于四路电机驱动模块的VM输入端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七、辅助配件与结构耗材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  <w:gridCol w:w="240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b/>
              </w:rPr>
              <w:t>安装位置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杜邦线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20cm 公对母、母对母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各模块、主控之间接线通信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按需布置，走线沿底盘边缘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螺丝铜柱套装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M3标准铜柱、螺丝、螺母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固定电路板、云台、电池、传感器等硬件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固定各电路板、云台、电池等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绝缘辅材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电工胶带、热缩管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线路绝缘防护、整理线束、防止短路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线路绝缘防护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3D打印固定件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适配小车结构定制件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固定摄像头、电池、驱动模块，优化整车结构布局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按需定制，固定各模块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八、整体选型合规与适配说明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赛事合规性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整车尺寸、重量、激光功率均符合竞赛规则，无违规硬件，无遥控、电磁铁等禁用装置，支持全程自主运行。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程序Skill完全适配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所有硬件选型完全匹配开发的K230视觉Skill、ESP32运动控制Skill模块化架构，硬件接口、通信协议、控制逻辑一一对应，无需二次改配。</w:t>
      </w:r>
      <w:bookmarkStart w:id="8" w:name="_GoBack"/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核心优势总结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集成K230无需拆解，降低硬件故障风险；双芯分工明确，视觉决策与运动控制分离，算力充足、响应迅速；电源系统稳定、传感器精度达标，完全满足竞赛高精度识别、精准行走、智能避障、自主推棋全流程需求。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6D14F4"/>
    <w:rsid w:val="297139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Office_11.8.2.11734_F1E327BC-269C-435d-A152-05C5408002CA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2026-09-22T07:21:00Z</dcterms:created>
  <dc:creator>Apache POI</dc:creator>
  <cp:lastModifiedBy>皮</cp:lastModifiedBy>
  <dcterms:modified xsi:type="dcterms:W3CDTF">2026-09-25T14:52:40Z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{"Label":"1","ContentProducer":"001191110102MACQD9K64010000","ProduceID":"7688256310923873505","ReservedCode1":"","ContentPropagator":"","PropagateID":"","ReservedCode2":""}</vt:lpwstr>
  </property>
  <property fmtid="{D5CDD505-2E9C-101B-9397-08002B2CF9AE}" pid="3" name="KSOProductBuildVer">
    <vt:lpwstr>2052-11.8.2.11734</vt:lpwstr>
  </property>
  <property fmtid="{D5CDD505-2E9C-101B-9397-08002B2CF9AE}" pid="4" name="ICV">
    <vt:lpwstr>073659FFF8524DA0B2F134A5D0C5ABFF</vt:lpwstr>
  </property>
</Properties>
</file>