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 w:lineRule="auto" w:line="300"/>
        <w:jc w:val="center"/>
      </w:pPr>
      <w:r>
        <w:rPr>
          <w:rFonts w:ascii="Calibri" w:hAnsi="Calibri" w:eastAsia="微软雅黑"/>
          <w:b/>
          <w:sz w:val="44"/>
        </w:rPr>
        <w:t>会议纪要</w:t>
      </w:r>
    </w:p>
    <w:p>
      <w:pPr>
        <w:spacing w:after="80" w:lineRule="auto" w:line="300"/>
        <w:jc w:val="center"/>
      </w:pPr>
      <w:r>
        <w:rPr>
          <w:rFonts w:ascii="Calibri" w:hAnsi="Calibri" w:eastAsia="微软雅黑"/>
          <w:b w:val="0"/>
          <w:sz w:val="22"/>
        </w:rPr>
        <w:t>（2026年6月10日 · 周例会）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814"/>
          </w:tcPr>
          <w:p>
            <w:r>
              <w:rPr>
                <w:rFonts w:ascii="Calibri" w:hAnsi="Calibri" w:eastAsia="微软雅黑"/>
                <w:b/>
                <w:sz w:val="22"/>
              </w:rPr>
              <w:t>会议日期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b w:val="0"/>
                <w:sz w:val="22"/>
              </w:rPr>
              <w:t>2026年6月10日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 w:eastAsia="微软雅黑"/>
                <w:b/>
                <w:sz w:val="22"/>
              </w:rPr>
              <w:t>会议类型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b w:val="0"/>
                <w:sz w:val="22"/>
              </w:rPr>
              <w:t>周例会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 w:eastAsia="微软雅黑"/>
                <w:b/>
                <w:sz w:val="22"/>
              </w:rPr>
              <w:t>录音文件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b w:val="0"/>
                <w:sz w:val="22"/>
              </w:rPr>
              <w:t>E:\6.10.m4a（约 60 分钟）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 w:eastAsia="微软雅黑"/>
                <w:b/>
                <w:sz w:val="22"/>
              </w:rPr>
              <w:t>记录方式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b w:val="0"/>
                <w:sz w:val="22"/>
              </w:rPr>
              <w:t>录音转写 + 要点整理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 w:eastAsia="微软雅黑"/>
                <w:b/>
                <w:sz w:val="22"/>
              </w:rPr>
              <w:t>参会人员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b w:val="0"/>
                <w:sz w:val="22"/>
              </w:rPr>
              <w:t>Echo、Win、Tony 等（数据/算法/产品相关同事；具体名单以实际签到为准）</w:t>
            </w:r>
          </w:p>
        </w:tc>
      </w:tr>
    </w:tbl>
    <w:p/>
    <w:p>
      <w:pPr>
        <w:spacing w:before="240" w:after="120" w:lineRule="auto" w:line="300"/>
      </w:pPr>
      <w:r>
        <w:rPr>
          <w:rFonts w:ascii="Calibri" w:hAnsi="Calibri" w:eastAsia="微软雅黑"/>
          <w:b/>
          <w:sz w:val="32"/>
        </w:rPr>
        <w:t>一、会议目的</w:t>
      </w:r>
    </w:p>
    <w:p>
      <w:pPr>
        <w:spacing w:after="80" w:lineRule="auto" w:line="300"/>
      </w:pPr>
      <w:r>
        <w:rPr>
          <w:rFonts w:ascii="Calibri" w:hAnsi="Calibri" w:eastAsia="微软雅黑"/>
          <w:b w:val="0"/>
          <w:sz w:val="22"/>
        </w:rPr>
        <w:t>周例会：复盘上周数据看板、机器人表现、金币通胀、发牌算法干预效果，并明确下一阶段产品与技术方向。</w:t>
      </w:r>
    </w:p>
    <w:p>
      <w:pPr>
        <w:spacing w:before="240" w:after="120" w:lineRule="auto" w:line="300"/>
      </w:pPr>
      <w:r>
        <w:rPr>
          <w:rFonts w:ascii="Calibri" w:hAnsi="Calibri" w:eastAsia="微软雅黑"/>
          <w:b/>
          <w:sz w:val="32"/>
        </w:rPr>
        <w:t>二、上周看板与数据复盘</w:t>
      </w:r>
    </w:p>
    <w:p>
      <w:pPr>
        <w:spacing w:before="160" w:after="120" w:lineRule="auto" w:line="300"/>
      </w:pPr>
      <w:r>
        <w:rPr>
          <w:rFonts w:ascii="Calibri" w:hAnsi="Calibri" w:eastAsia="微软雅黑"/>
          <w:b/>
          <w:sz w:val="26"/>
        </w:rPr>
        <w:t>2.1 Dashboard 更新（机器人模块）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机器人数据按场次拆分更细：原先仅「金币场 + MTT」，现拆分为：</w:t>
      </w:r>
    </w:p>
    <w:p>
      <w:pPr>
        <w:pStyle w:val="ListBullet2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德州金币场</w:t>
      </w:r>
    </w:p>
    <w:p>
      <w:pPr>
        <w:pStyle w:val="ListBullet2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MTT（含 U 场、道具/门票场、金币入场等维度）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各场次表现可单独查看；整体结论：</w:t>
      </w:r>
    </w:p>
    <w:p>
      <w:pPr>
        <w:pStyle w:val="ListBullet2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德州现金桌：玩家占比高，机器人表现偏弱</w:t>
      </w:r>
    </w:p>
    <w:p>
      <w:pPr>
        <w:pStyle w:val="ListBullet2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金币场：与拆分前结论基本一致</w:t>
      </w:r>
    </w:p>
    <w:p>
      <w:pPr>
        <w:pStyle w:val="ListBullet2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MTT：拆分后数据略好于原汇总口径</w:t>
      </w:r>
    </w:p>
    <w:p>
      <w:pPr>
        <w:spacing w:before="160" w:after="120" w:lineRule="auto" w:line="300"/>
      </w:pPr>
      <w:r>
        <w:rPr>
          <w:rFonts w:ascii="Calibri" w:hAnsi="Calibri" w:eastAsia="微软雅黑"/>
          <w:b/>
          <w:sz w:val="26"/>
        </w:rPr>
        <w:t>2.2 金币场通胀（剔除大户后）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剔除单一超大户后，全站金币余额呈单调上升，日均约 +2～3 亿金币。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按天增长率约 0.2%～0.3%。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存量（剔大户后）约 800 亿+；30 天内未登录用户余额约 650 亿，活跃用户金币约 150 亿。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金币减少主因：MTT 报名费。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金币增加主因：登录赠送、签到、比赛奖励（奖励也以 MTT 为主）。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房间抽水约 4,000 万～5,000 万/天；其余来自机器人与真人之间的输赢。</w:t>
      </w:r>
    </w:p>
    <w:p>
      <w:pPr>
        <w:spacing w:before="160" w:after="120" w:lineRule="auto" w:line="300"/>
      </w:pPr>
      <w:r>
        <w:rPr>
          <w:rFonts w:ascii="Calibri" w:hAnsi="Calibri" w:eastAsia="微软雅黑"/>
          <w:b/>
          <w:sz w:val="26"/>
        </w:rPr>
        <w:t>2.3 大户说明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全站约 4,500 亿+ 总量中，单一用户贡献约 3,600 亿+。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该用户近期因输钱，含大户的整体余额呈下降；其进出对总量干扰极大。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决议：后续分析默认剔除该大户，不再纳入常规看板。</w:t>
      </w:r>
    </w:p>
    <w:p>
      <w:pPr>
        <w:spacing w:before="160" w:after="120" w:lineRule="auto" w:line="300"/>
      </w:pPr>
      <w:r>
        <w:rPr>
          <w:rFonts w:ascii="Calibri" w:hAnsi="Calibri" w:eastAsia="微软雅黑"/>
          <w:b/>
          <w:sz w:val="26"/>
        </w:rPr>
        <w:t>2.4 机器人胜率（现金桌）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金币场机器人胜率约 40%～50%（运营同事反馈体感）。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现金桌（尤其 U 场/德州）机器人胜率仅约 20%，明显偏弱。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原因判断：玩家水平差异大，机器人牌技难以覆盖真人现金桌；运营侧认为真人一旦识别对手为机器人，长期必输。</w:t>
      </w:r>
    </w:p>
    <w:p>
      <w:pPr>
        <w:spacing w:before="240" w:after="120" w:lineRule="auto" w:line="300"/>
      </w:pPr>
      <w:r>
        <w:rPr>
          <w:rFonts w:ascii="Calibri" w:hAnsi="Calibri" w:eastAsia="微软雅黑"/>
          <w:b/>
          <w:sz w:val="32"/>
        </w:rPr>
        <w:t>三、发牌算法与干预效果</w:t>
      </w:r>
    </w:p>
    <w:p>
      <w:pPr>
        <w:spacing w:before="160" w:after="120" w:lineRule="auto" w:line="300"/>
      </w:pPr>
      <w:r>
        <w:rPr>
          <w:rFonts w:ascii="Calibri" w:hAnsi="Calibri" w:eastAsia="微软雅黑"/>
          <w:b/>
          <w:sz w:val="26"/>
        </w:rPr>
        <w:t>3.1 整体干预规模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发牌算法日干预场次约 7%～10%（不到 10%）。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干预类型仍以既有三类为主：新用户、后排/积分序用户、撕火牌/成功填补类。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MP1 场以「给新用户发好牌/奖励」为主。</w:t>
      </w:r>
    </w:p>
    <w:p>
      <w:pPr>
        <w:spacing w:before="160" w:after="120" w:lineRule="auto" w:line="300"/>
      </w:pPr>
      <w:r>
        <w:rPr>
          <w:rFonts w:ascii="Calibri" w:hAnsi="Calibri" w:eastAsia="微软雅黑"/>
          <w:b/>
          <w:sz w:val="26"/>
        </w:rPr>
        <w:t>3.2 干预成功率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「发好牌 → 该玩家最终赢牌」转化率约 50%+（会上提到约 54%）。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Case 回放显示：存在好牌被打跑、冤家牌设计未跟注、玩家弃牌等情况。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会上讨论：干预不能包赢，但 50% 成功率偏低；有人提出期望 80%+（非强制 100%）。</w:t>
      </w:r>
    </w:p>
    <w:p>
      <w:pPr>
        <w:spacing w:before="160" w:after="120" w:lineRule="auto" w:line="300"/>
      </w:pPr>
      <w:r>
        <w:rPr>
          <w:rFonts w:ascii="Calibri" w:hAnsi="Calibri" w:eastAsia="微软雅黑"/>
          <w:b/>
          <w:sz w:val="26"/>
        </w:rPr>
        <w:t>3.3 同日重复干预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新用户等同日可能被多次干预（逻辑：发好牌未赢 → 系统再次触发补发）。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若玩家持续 fold，会反复触发。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待优化：限制同一用户单日干预次数，避免过度干预。</w:t>
      </w:r>
    </w:p>
    <w:p>
      <w:pPr>
        <w:spacing w:before="160" w:after="120" w:lineRule="auto" w:line="300"/>
      </w:pPr>
      <w:r>
        <w:rPr>
          <w:rFonts w:ascii="Calibri" w:hAnsi="Calibri" w:eastAsia="微软雅黑"/>
          <w:b/>
          <w:sz w:val="26"/>
        </w:rPr>
        <w:t>3.4 手牌分析需求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需要能查看每轮每人手牌、公共牌及弃牌原因。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对「干预未达预期」的牌局做原因归因：玩家水平、牌型设计、是否未跟注等。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决议方向：建设手牌分析看板/分析站（需权限），支持回放与对比「成功 54 局 vs 失败 46 局」差异。</w:t>
      </w:r>
    </w:p>
    <w:p>
      <w:pPr>
        <w:spacing w:before="240" w:after="120" w:lineRule="auto" w:line="300"/>
      </w:pPr>
      <w:r>
        <w:rPr>
          <w:rFonts w:ascii="Calibri" w:hAnsi="Calibri" w:eastAsia="微软雅黑"/>
          <w:b/>
          <w:sz w:val="32"/>
        </w:rPr>
        <w:t>四、数据平台与 AI 问答（重要新需求）</w:t>
      </w:r>
    </w:p>
    <w:p>
      <w:pPr>
        <w:spacing w:before="160" w:after="120" w:lineRule="auto" w:line="300"/>
      </w:pPr>
      <w:r>
        <w:rPr>
          <w:rFonts w:ascii="Calibri" w:hAnsi="Calibri" w:eastAsia="微软雅黑"/>
          <w:b/>
          <w:sz w:val="26"/>
        </w:rPr>
        <w:t>4.1 痛点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当前多为 Echo 等人手工做表，查数依赖专人 + 跑 SQL，效率低。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希望把「挖掘过程」产品化，而非每次固定表格交付。</w:t>
      </w:r>
    </w:p>
    <w:p>
      <w:pPr>
        <w:spacing w:before="160" w:after="120" w:lineRule="auto" w:line="300"/>
      </w:pPr>
      <w:r>
        <w:rPr>
          <w:rFonts w:ascii="Calibri" w:hAnsi="Calibri" w:eastAsia="微软雅黑"/>
          <w:b/>
          <w:sz w:val="26"/>
        </w:rPr>
        <w:t>4.2 目标形态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类内部数据站/网站：账号密码登录，可自由检索。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支持自然语言问答（类似 AI）：例如「机器人 V1 在凌晨对印度/巴基斯坦用户表现如何」。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可参考其他部门已有实践（如 Telegram 机器人问数）。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技术路径：大模型 + 标准化字段标注（地区、时段、场次、机器人类型等）；标注与校对前期工作量较大，入库后可自动化。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模型选型：可优先试 DeepSeek 等成本较低方案（会上亦提到 Cloud 偏贵）。</w:t>
      </w:r>
    </w:p>
    <w:p>
      <w:pPr>
        <w:spacing w:before="160" w:after="120" w:lineRule="auto" w:line="300"/>
      </w:pPr>
      <w:r>
        <w:rPr>
          <w:rFonts w:ascii="Calibri" w:hAnsi="Calibri" w:eastAsia="微软雅黑"/>
          <w:b/>
          <w:sz w:val="26"/>
        </w:rPr>
        <w:t>4.3 待办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排期评估：数据解析、入库、问答界面、权限体系。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初期可「先把现有数据堆上去」，再逐步结构化。</w:t>
      </w:r>
    </w:p>
    <w:p>
      <w:pPr>
        <w:spacing w:before="240" w:after="120" w:lineRule="auto" w:line="300"/>
      </w:pPr>
      <w:r>
        <w:rPr>
          <w:rFonts w:ascii="Calibri" w:hAnsi="Calibri" w:eastAsia="微软雅黑"/>
          <w:b/>
          <w:sz w:val="32"/>
        </w:rPr>
        <w:t>五、MTT 机器人统计口径调整（重要）</w:t>
      </w:r>
    </w:p>
    <w:p>
      <w:pPr>
        <w:spacing w:before="160" w:after="120" w:lineRule="auto" w:line="300"/>
      </w:pPr>
      <w:r>
        <w:rPr>
          <w:rFonts w:ascii="Calibri" w:hAnsi="Calibri" w:eastAsia="微软雅黑"/>
          <w:b/>
          <w:sz w:val="26"/>
        </w:rPr>
        <w:t>5.1 问题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当前 MTT 机器人「胜率」按每一手牌输赢统计，对比赛无意义。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比赛可能赢 99 手、第 100 手 all-in 出局即整体亏损；手牌胜率与最终结果脱节。</w:t>
      </w:r>
    </w:p>
    <w:p>
      <w:pPr>
        <w:spacing w:before="160" w:after="120" w:lineRule="auto" w:line="300"/>
      </w:pPr>
      <w:r>
        <w:rPr>
          <w:rFonts w:ascii="Calibri" w:hAnsi="Calibri" w:eastAsia="微软雅黑"/>
          <w:b/>
          <w:sz w:val="26"/>
        </w:rPr>
        <w:t>5.2 新口径（决议）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以整场比赛的投入 vs 带出为准：</w:t>
      </w:r>
    </w:p>
    <w:p>
      <w:pPr>
        <w:pStyle w:val="ListBullet2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统计机器人买入（U / 门票折算 / 金币折算）与带出的差额。</w:t>
      </w:r>
    </w:p>
    <w:p>
      <w:pPr>
        <w:pStyle w:val="ListBullet2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贷出 &gt; 贷入 → 机器人整体回收/赢。</w:t>
      </w:r>
    </w:p>
    <w:p>
      <w:pPr>
        <w:pStyle w:val="ListBullet2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贷出 &lt; 贷入 → 机器人整体亏，与手牌胜率无关。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待办：调整 MTT 相关统计与看板展示。</w:t>
      </w:r>
    </w:p>
    <w:p>
      <w:pPr>
        <w:spacing w:before="240" w:after="120" w:lineRule="auto" w:line="300"/>
      </w:pPr>
      <w:r>
        <w:rPr>
          <w:rFonts w:ascii="Calibri" w:hAnsi="Calibri" w:eastAsia="微软雅黑"/>
          <w:b/>
          <w:sz w:val="32"/>
        </w:rPr>
        <w:t>六、战略方向调整（核心决议）</w:t>
      </w:r>
    </w:p>
    <w:p>
      <w:pPr>
        <w:spacing w:before="160" w:after="120" w:lineRule="auto" w:line="300"/>
      </w:pPr>
      <w:r>
        <w:rPr>
          <w:rFonts w:ascii="Calibri" w:hAnsi="Calibri" w:eastAsia="微软雅黑"/>
          <w:b/>
          <w:sz w:val="26"/>
        </w:rPr>
        <w:t>6.1 降低对「机器人牌技」的投入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不再将主要精力放在提升机器人打牌水平、自然语言对话等。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原因：成本、响应时延、能力边界；现金桌对真人长期劣势明显。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语言化、牌技优化可维持现状或低优先级，不必追求「完美产品」。</w:t>
      </w:r>
    </w:p>
    <w:p>
      <w:pPr>
        <w:spacing w:before="160" w:after="120" w:lineRule="auto" w:line="300"/>
      </w:pPr>
      <w:r>
        <w:rPr>
          <w:rFonts w:ascii="Calibri" w:hAnsi="Calibri" w:eastAsia="微软雅黑"/>
          <w:b/>
          <w:sz w:val="26"/>
        </w:rPr>
        <w:t>6.2 聚焦「发牌算法」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三条路径中，主攻发牌/控牌算法，用于：控通胀、控制机器人整体输赢目标。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牌库策略：</w:t>
      </w:r>
    </w:p>
    <w:p>
      <w:pPr>
        <w:pStyle w:val="ListBullet2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持续迭代牌型库（量级可从千级扩到万级、十万级）。</w:t>
      </w:r>
    </w:p>
    <w:p>
      <w:pPr>
        <w:pStyle w:val="ListBullet2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分批替换上线，保持随机性，避免模式化（如反复 AA/KK/AK 等毁灭体验）。</w:t>
      </w:r>
    </w:p>
    <w:p>
      <w:pPr>
        <w:pStyle w:val="ListBullet2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干预不必精确到「某一具体一手」，控制概率与体验即可。</w:t>
      </w:r>
    </w:p>
    <w:p>
      <w:pPr>
        <w:pStyle w:val="ListBullet2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翻牌/转牌/河牌等多节点均可作为后续调控点。</w:t>
      </w:r>
    </w:p>
    <w:p>
      <w:pPr>
        <w:spacing w:before="160" w:after="120" w:lineRule="auto" w:line="300"/>
      </w:pPr>
      <w:r>
        <w:rPr>
          <w:rFonts w:ascii="Calibri" w:hAnsi="Calibri" w:eastAsia="微软雅黑"/>
          <w:b/>
          <w:sz w:val="26"/>
        </w:rPr>
        <w:t>6.3 发牌成功率预期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不赞同强行追求单次干预 80%～90% 必赢（可能影响牌局体验、过于刻意）。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优先：升级牌库 + 优化干预策略 + 看板复盘，用下一版数据验证。</w:t>
      </w:r>
    </w:p>
    <w:p>
      <w:pPr>
        <w:spacing w:before="240" w:after="120" w:lineRule="auto" w:line="300"/>
      </w:pPr>
      <w:r>
        <w:rPr>
          <w:rFonts w:ascii="Calibri" w:hAnsi="Calibri" w:eastAsia="微软雅黑"/>
          <w:b/>
          <w:sz w:val="32"/>
        </w:rPr>
        <w:t>七、用户画像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当前维度大致包括：排类、活跃度、IP、风险行为（如撕火牌）、与机器人对战表现等。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会上认为维度仍偏少，分级应更细（理想可达几十维），利于发牌与「削峰填谷」。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与运营侧用户分层着眼点不同：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算法侧：服务发牌、机器人逻辑、打牌行为。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运营侧：流程、活跃、偏好（可由运营另行建设，算法侧按需配合）。</w:t>
      </w:r>
    </w:p>
    <w:p>
      <w:pPr>
        <w:spacing w:before="240" w:after="120" w:lineRule="auto" w:line="300"/>
      </w:pPr>
      <w:r>
        <w:rPr>
          <w:rFonts w:ascii="Calibri" w:hAnsi="Calibri" w:eastAsia="微软雅黑"/>
          <w:b/>
          <w:sz w:val="32"/>
        </w:rPr>
        <w:t>八、其他事项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看牌/后端发版：后端发版调试中，发版后可小流量在德州场验证。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用户画像展示：希望将现有「点选式」分析做成可便捷访问的站点。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会后：Tony 负责将录音转文字并整理要点分发。</w:t>
      </w:r>
    </w:p>
    <w:p>
      <w:pPr>
        <w:spacing w:before="240" w:after="120" w:lineRule="auto" w:line="300"/>
      </w:pPr>
      <w:r>
        <w:rPr>
          <w:rFonts w:ascii="Calibri" w:hAnsi="Calibri" w:eastAsia="微软雅黑"/>
          <w:b/>
          <w:sz w:val="32"/>
        </w:rPr>
        <w:t>九、行动项（Action Items）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序号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事项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负责人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优先级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大户数据从常规看板永久剔除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数据/看板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已达成共识</w:t>
            </w:r>
          </w:p>
        </w:tc>
      </w:tr>
      <w:tr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MTT 机器人指标改为买入 vs 带出口径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Echo/数据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替代手牌胜率</w:t>
            </w:r>
          </w:p>
        </w:tc>
      </w:tr>
      <w:tr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限制新用户等同日重复干预策略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算法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避免一天内过多把干预</w:t>
            </w:r>
          </w:p>
        </w:tc>
      </w:tr>
      <w:tr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建设手牌分析看板（回放 + 成功/失败对比）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产品/算法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含权限控制</w:t>
            </w:r>
          </w:p>
        </w:tc>
      </w:tr>
      <w:tr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评估 AI 问数数据站（排期、字段标注、问答）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技术/数据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可参考 TG 机器人方案</w:t>
            </w:r>
          </w:p>
        </w:tc>
      </w:tr>
      <w:tr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6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牌库升级与下一版发牌算法迭代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算法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强调随机性，避免死板牌型</w:t>
            </w:r>
          </w:p>
        </w:tc>
      </w:tr>
      <w:tr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7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用户画像扩维（服务发牌与削峰填谷）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算法/数据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与运营画像分工明确</w:t>
            </w:r>
          </w:p>
        </w:tc>
      </w:tr>
      <w:tr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8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德州场小流量验证看牌/发牌相关功能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后端/算法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待发版完成</w:t>
            </w:r>
          </w:p>
        </w:tc>
      </w:tr>
      <w:tr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9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会议纪要整理并分发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Tony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1729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本次会议</w:t>
            </w:r>
          </w:p>
        </w:tc>
      </w:tr>
    </w:tbl>
    <w:p/>
    <w:p>
      <w:pPr>
        <w:spacing w:before="240" w:after="120" w:lineRule="auto" w:line="300"/>
      </w:pPr>
      <w:r>
        <w:rPr>
          <w:rFonts w:ascii="Calibri" w:hAnsi="Calibri" w:eastAsia="微软雅黑"/>
          <w:b/>
          <w:sz w:val="32"/>
        </w:rPr>
        <w:t>十、风险与遗留问题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1. 活跃用户口径下通胀率约 1%/天，仍偏高，需其他手段压降。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2. 发牌干预成功率约 50%，需区分「玩家水平 / 牌型设计 / 弃牌行为」再优化。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3. AI 问数依赖字段标准化与校对，前期人力投入需评估。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4. 机器人现金桌弱势短期难靠牌技解决，需与发牌策略目标对齐。</w:t>
      </w:r>
    </w:p>
    <w:p>
      <w:pPr>
        <w:spacing w:before="240" w:after="120" w:lineRule="auto" w:line="300"/>
      </w:pPr>
      <w:r>
        <w:rPr>
          <w:rFonts w:ascii="Calibri" w:hAnsi="Calibri" w:eastAsia="微软雅黑"/>
          <w:b/>
          <w:sz w:val="32"/>
        </w:rPr>
        <w:t>十一、下次会议建议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过一遍 MTT 新口径的首版数据。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手牌分析看板 / 问数站点排期与 MVP 范围。</w:t>
      </w:r>
    </w:p>
    <w:p>
      <w:pPr>
        <w:pStyle w:val="ListBullet"/>
        <w:spacing w:after="40" w:line="300" w:lineRule="auto"/>
      </w:pPr>
      <w:r>
        <w:rPr>
          <w:rFonts w:ascii="Calibri" w:hAnsi="Calibri" w:eastAsia="微软雅黑"/>
          <w:b w:val="0"/>
          <w:sz w:val="22"/>
        </w:rPr>
        <w:t>牌库升级后的干预成功率与 Case 回放抽检。</w:t>
      </w:r>
    </w:p>
    <w:p/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（说明：本纪要由 E:\6.10.m4a 自动转写后结构化整理，专有名词与数字如有出入请以看板原始数据为准。）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