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15F" w:rsidRDefault="0008215F" w:rsidP="0008215F">
      <w:pPr>
        <w:jc w:val="center"/>
      </w:pPr>
    </w:p>
    <w:p w:rsidR="0008215F" w:rsidRDefault="0008215F" w:rsidP="0008215F">
      <w:pPr>
        <w:jc w:val="center"/>
      </w:pPr>
    </w:p>
    <w:p w:rsidR="0008215F" w:rsidRDefault="0008215F" w:rsidP="0008215F">
      <w:pPr>
        <w:jc w:val="center"/>
      </w:pPr>
    </w:p>
    <w:p w:rsidR="0008215F" w:rsidRDefault="0008215F" w:rsidP="0008215F">
      <w:pPr>
        <w:jc w:val="center"/>
      </w:pPr>
    </w:p>
    <w:tbl>
      <w:tblPr>
        <w:tblW w:w="0" w:type="auto"/>
        <w:jc w:val="center"/>
        <w:tblLook w:val="0000" w:firstRow="0" w:lastRow="0" w:firstColumn="0" w:lastColumn="0" w:noHBand="0" w:noVBand="0"/>
      </w:tblPr>
      <w:tblGrid>
        <w:gridCol w:w="8548"/>
      </w:tblGrid>
      <w:tr w:rsidR="0008215F" w:rsidTr="0008215F">
        <w:trPr>
          <w:cantSplit/>
          <w:trHeight w:val="567"/>
          <w:jc w:val="center"/>
        </w:trPr>
        <w:tc>
          <w:tcPr>
            <w:tcW w:w="8548" w:type="dxa"/>
            <w:vAlign w:val="center"/>
          </w:tcPr>
          <w:p w:rsidR="0008215F" w:rsidRDefault="0008215F">
            <w:pPr>
              <w:adjustRightInd w:val="0"/>
              <w:snapToGrid w:val="0"/>
              <w:rPr>
                <w:rFonts w:ascii="宋体"/>
                <w:b/>
                <w:sz w:val="24"/>
              </w:rPr>
            </w:pPr>
            <w:r>
              <w:rPr>
                <w:rFonts w:ascii="宋体" w:hint="eastAsia"/>
                <w:b/>
                <w:sz w:val="24"/>
              </w:rPr>
              <w:t xml:space="preserve"> </w:t>
            </w:r>
          </w:p>
        </w:tc>
      </w:tr>
      <w:tr w:rsidR="0008215F" w:rsidTr="0008215F">
        <w:trPr>
          <w:cantSplit/>
          <w:trHeight w:val="567"/>
          <w:jc w:val="center"/>
        </w:trPr>
        <w:tc>
          <w:tcPr>
            <w:tcW w:w="8548" w:type="dxa"/>
            <w:vAlign w:val="center"/>
          </w:tcPr>
          <w:p w:rsidR="0008215F" w:rsidRDefault="0008215F">
            <w:pPr>
              <w:adjustRightInd w:val="0"/>
              <w:snapToGrid w:val="0"/>
              <w:rPr>
                <w:rFonts w:ascii="宋体"/>
                <w:b/>
                <w:sz w:val="24"/>
              </w:rPr>
            </w:pPr>
          </w:p>
        </w:tc>
      </w:tr>
      <w:tr w:rsidR="0008215F" w:rsidTr="0008215F">
        <w:trPr>
          <w:cantSplit/>
          <w:trHeight w:val="567"/>
          <w:jc w:val="center"/>
        </w:trPr>
        <w:tc>
          <w:tcPr>
            <w:tcW w:w="8548" w:type="dxa"/>
            <w:vAlign w:val="center"/>
          </w:tcPr>
          <w:p w:rsidR="0008215F" w:rsidRDefault="0008215F">
            <w:pPr>
              <w:adjustRightInd w:val="0"/>
              <w:snapToGrid w:val="0"/>
              <w:jc w:val="center"/>
            </w:pPr>
          </w:p>
          <w:p w:rsidR="0008215F" w:rsidRDefault="0008215F" w:rsidP="0008215F">
            <w:pPr>
              <w:adjustRightInd w:val="0"/>
              <w:snapToGrid w:val="0"/>
              <w:jc w:val="center"/>
              <w:rPr>
                <w:rFonts w:ascii="宋体" w:hint="eastAsia"/>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7.5pt" o:ole="" o:allowoverlap="f">
                  <v:imagedata r:id="rId6" o:title=""/>
                </v:shape>
                <o:OLEObject Type="Embed" ProgID="Paint.Picture" ShapeID="_x0000_i1025" DrawAspect="Content" ObjectID="_1707986237" r:id="rId7"/>
              </w:object>
            </w:r>
          </w:p>
          <w:p w:rsidR="0008215F" w:rsidRDefault="0008215F">
            <w:pPr>
              <w:adjustRightInd w:val="0"/>
              <w:snapToGrid w:val="0"/>
              <w:rPr>
                <w:rFonts w:ascii="宋体"/>
                <w:b/>
                <w:sz w:val="24"/>
              </w:rPr>
            </w:pPr>
          </w:p>
        </w:tc>
      </w:tr>
      <w:tr w:rsidR="0008215F" w:rsidTr="0008215F">
        <w:trPr>
          <w:cantSplit/>
          <w:trHeight w:val="567"/>
          <w:jc w:val="center"/>
        </w:trPr>
        <w:tc>
          <w:tcPr>
            <w:tcW w:w="8548" w:type="dxa"/>
            <w:vAlign w:val="center"/>
          </w:tcPr>
          <w:p w:rsidR="0008215F" w:rsidRDefault="0008215F">
            <w:pPr>
              <w:adjustRightInd w:val="0"/>
              <w:snapToGrid w:val="0"/>
              <w:rPr>
                <w:rFonts w:ascii="宋体"/>
                <w:sz w:val="28"/>
              </w:rPr>
            </w:pPr>
          </w:p>
        </w:tc>
      </w:tr>
      <w:tr w:rsidR="0008215F" w:rsidTr="0008215F">
        <w:trPr>
          <w:cantSplit/>
          <w:trHeight w:val="681"/>
          <w:jc w:val="center"/>
        </w:trPr>
        <w:tc>
          <w:tcPr>
            <w:tcW w:w="8548" w:type="dxa"/>
            <w:vAlign w:val="center"/>
          </w:tcPr>
          <w:p w:rsidR="0008215F" w:rsidRDefault="0008215F">
            <w:pPr>
              <w:adjustRightInd w:val="0"/>
              <w:snapToGrid w:val="0"/>
              <w:ind w:leftChars="-651" w:left="-1367" w:firstLineChars="427" w:firstLine="1366"/>
              <w:jc w:val="center"/>
              <w:rPr>
                <w:rFonts w:ascii="仿宋_GB2312" w:eastAsia="仿宋_GB2312"/>
                <w:b/>
                <w:sz w:val="32"/>
              </w:rPr>
            </w:pPr>
            <w:r>
              <w:rPr>
                <w:rFonts w:eastAsia="仿宋_GB2312" w:hint="eastAsia"/>
                <w:sz w:val="32"/>
              </w:rPr>
              <w:t>昆理工大校字</w:t>
            </w:r>
            <w:r>
              <w:rPr>
                <w:rFonts w:ascii="仿宋_GB2312" w:eastAsia="仿宋_GB2312" w:hint="eastAsia"/>
                <w:sz w:val="32"/>
              </w:rPr>
              <w:t xml:space="preserve">〔2014〕68号             </w:t>
            </w:r>
          </w:p>
        </w:tc>
      </w:tr>
      <w:tr w:rsidR="0008215F" w:rsidTr="0008215F">
        <w:trPr>
          <w:cantSplit/>
          <w:trHeight w:val="567"/>
          <w:jc w:val="center"/>
        </w:trPr>
        <w:tc>
          <w:tcPr>
            <w:tcW w:w="8548" w:type="dxa"/>
            <w:vAlign w:val="center"/>
          </w:tcPr>
          <w:p w:rsidR="0008215F" w:rsidRDefault="0008215F">
            <w:pPr>
              <w:adjustRightInd w:val="0"/>
              <w:snapToGrid w:val="0"/>
              <w:jc w:val="center"/>
              <w:rPr>
                <w:rFonts w:ascii="宋体"/>
                <w:b/>
                <w:szCs w:val="21"/>
              </w:rPr>
            </w:pPr>
            <w:r w:rsidRPr="005D666E">
              <w:rPr>
                <w:szCs w:val="21"/>
              </w:rPr>
              <w:object w:dxaOrig="8309" w:dyaOrig="225">
                <v:shape id="_x0000_i1026" type="#_x0000_t75" style="width:415.5pt;height:11.5pt" o:ole="" o:allowoverlap="f">
                  <v:imagedata r:id="rId8" o:title=""/>
                </v:shape>
                <o:OLEObject Type="Embed" ProgID="Paint.Picture" ShapeID="_x0000_i1026" DrawAspect="Content" ObjectID="_1707986238" r:id="rId9"/>
              </w:object>
            </w:r>
          </w:p>
        </w:tc>
      </w:tr>
    </w:tbl>
    <w:p w:rsidR="0008215F" w:rsidRDefault="0008215F" w:rsidP="0008215F">
      <w:pPr>
        <w:spacing w:line="760" w:lineRule="exact"/>
        <w:jc w:val="center"/>
        <w:rPr>
          <w:rFonts w:ascii="小标宋" w:eastAsia="小标宋" w:cs="方正小标宋_GBK"/>
          <w:sz w:val="44"/>
          <w:szCs w:val="44"/>
        </w:rPr>
      </w:pPr>
      <w:r>
        <w:rPr>
          <w:rFonts w:ascii="小标宋" w:eastAsia="小标宋" w:cs="方正小标宋_GBK" w:hint="eastAsia"/>
          <w:sz w:val="44"/>
          <w:szCs w:val="44"/>
        </w:rPr>
        <w:t>昆明理工大学关于</w:t>
      </w:r>
    </w:p>
    <w:p w:rsidR="0008215F" w:rsidRDefault="0008215F" w:rsidP="0008215F">
      <w:pPr>
        <w:spacing w:line="760" w:lineRule="exact"/>
        <w:jc w:val="center"/>
        <w:rPr>
          <w:rFonts w:ascii="小标宋" w:eastAsia="小标宋" w:cs="方正小标宋_GBK" w:hint="eastAsia"/>
          <w:sz w:val="44"/>
          <w:szCs w:val="44"/>
        </w:rPr>
      </w:pPr>
      <w:r>
        <w:rPr>
          <w:rFonts w:ascii="小标宋" w:eastAsia="小标宋" w:cs="方正小标宋_GBK" w:hint="eastAsia"/>
          <w:sz w:val="44"/>
          <w:szCs w:val="44"/>
        </w:rPr>
        <w:t>印发《住宿费收缴管理办法》的通知</w:t>
      </w:r>
    </w:p>
    <w:p w:rsidR="0008215F" w:rsidRDefault="0008215F" w:rsidP="0008215F">
      <w:pPr>
        <w:rPr>
          <w:rFonts w:ascii="方正仿宋_GBK" w:eastAsia="方正仿宋_GBK" w:hint="eastAsia"/>
          <w:sz w:val="32"/>
          <w:szCs w:val="32"/>
        </w:rPr>
      </w:pPr>
    </w:p>
    <w:p w:rsidR="0008215F" w:rsidRDefault="0008215F" w:rsidP="0008215F">
      <w:pPr>
        <w:spacing w:line="520" w:lineRule="exact"/>
        <w:rPr>
          <w:rFonts w:ascii="仿宋_GB2312" w:eastAsia="仿宋_GB2312" w:hint="eastAsia"/>
          <w:sz w:val="32"/>
          <w:szCs w:val="32"/>
        </w:rPr>
      </w:pPr>
      <w:r>
        <w:rPr>
          <w:rFonts w:ascii="仿宋_GB2312" w:eastAsia="仿宋_GB2312" w:hint="eastAsia"/>
          <w:sz w:val="32"/>
          <w:szCs w:val="32"/>
        </w:rPr>
        <w:t>各院、部、处、室、馆、中心及直属部门：</w:t>
      </w:r>
    </w:p>
    <w:p w:rsidR="0008215F" w:rsidRDefault="0008215F" w:rsidP="0008215F">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《昆明理工大学住宿费收缴管理办法》已经学校研究同意，现印发给你们，</w:t>
      </w:r>
      <w:r>
        <w:rPr>
          <w:rFonts w:ascii="仿宋_GB2312" w:eastAsia="仿宋_GB2312" w:hAnsi="宋体" w:hint="eastAsia"/>
          <w:sz w:val="32"/>
          <w:szCs w:val="32"/>
        </w:rPr>
        <w:t>请遵照执行。</w:t>
      </w:r>
    </w:p>
    <w:p w:rsidR="0008215F" w:rsidRDefault="0008215F" w:rsidP="0008215F">
      <w:pPr>
        <w:ind w:firstLine="645"/>
        <w:rPr>
          <w:rFonts w:ascii="仿宋_GB2312" w:eastAsia="仿宋_GB2312" w:hint="eastAsia"/>
          <w:sz w:val="32"/>
          <w:szCs w:val="32"/>
        </w:rPr>
      </w:pPr>
    </w:p>
    <w:p w:rsidR="0008215F" w:rsidRDefault="0008215F" w:rsidP="0008215F">
      <w:pPr>
        <w:ind w:firstLine="645"/>
        <w:rPr>
          <w:rFonts w:ascii="仿宋_GB2312" w:eastAsia="仿宋_GB2312" w:cs="方正仿宋_GBK" w:hint="eastAsia"/>
          <w:sz w:val="32"/>
          <w:szCs w:val="32"/>
        </w:rPr>
      </w:pPr>
      <w:r>
        <w:rPr>
          <w:rFonts w:ascii="仿宋_GB2312" w:eastAsia="仿宋_GB2312" w:cs="方正仿宋_GBK" w:hint="eastAsia"/>
          <w:sz w:val="32"/>
          <w:szCs w:val="32"/>
        </w:rPr>
        <w:t xml:space="preserve">　　　　　　　　　　　　　　</w:t>
      </w:r>
    </w:p>
    <w:p w:rsidR="0008215F" w:rsidRDefault="0008215F" w:rsidP="0008215F">
      <w:pPr>
        <w:ind w:firstLineChars="1600" w:firstLine="5120"/>
        <w:rPr>
          <w:rFonts w:ascii="仿宋_GB2312" w:eastAsia="仿宋_GB2312" w:hint="eastAsia"/>
          <w:sz w:val="32"/>
          <w:szCs w:val="32"/>
        </w:rPr>
      </w:pPr>
      <w:r>
        <w:rPr>
          <w:rFonts w:ascii="仿宋_GB2312" w:eastAsia="仿宋_GB2312" w:cs="方正仿宋_GBK" w:hint="eastAsia"/>
          <w:sz w:val="32"/>
          <w:szCs w:val="32"/>
        </w:rPr>
        <w:t xml:space="preserve">　　昆明理工大学</w:t>
      </w:r>
    </w:p>
    <w:p w:rsidR="0008215F" w:rsidRDefault="0008215F" w:rsidP="0008215F">
      <w:pPr>
        <w:ind w:firstLine="645"/>
        <w:rPr>
          <w:rFonts w:ascii="仿宋_GB2312" w:eastAsia="仿宋_GB2312" w:cs="方正仿宋_GBK" w:hint="eastAsia"/>
          <w:sz w:val="32"/>
          <w:szCs w:val="32"/>
        </w:rPr>
      </w:pPr>
      <w:r>
        <w:rPr>
          <w:rFonts w:ascii="仿宋_GB2312" w:eastAsia="仿宋_GB2312" w:cs="方正仿宋_GBK" w:hint="eastAsia"/>
          <w:sz w:val="32"/>
          <w:szCs w:val="32"/>
        </w:rPr>
        <w:t xml:space="preserve">　　　　　　　　　　　　　　　 </w:t>
      </w: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cs="方正仿宋_GBK" w:hint="eastAsia"/>
            <w:sz w:val="32"/>
            <w:szCs w:val="32"/>
          </w:rPr>
          <w:t>2014年6月17日</w:t>
        </w:r>
      </w:smartTag>
      <w:bookmarkStart w:id="0" w:name="_Toc385939803"/>
      <w:bookmarkStart w:id="1" w:name="_Toc385494126"/>
      <w:bookmarkStart w:id="2" w:name="_Toc384720278"/>
      <w:bookmarkStart w:id="3" w:name="_Toc384712737"/>
      <w:bookmarkStart w:id="4" w:name="_Toc384712125"/>
      <w:bookmarkStart w:id="5" w:name="_Toc384712000"/>
      <w:bookmarkStart w:id="6" w:name="_Toc384711841"/>
      <w:bookmarkStart w:id="7" w:name="_Toc384711613"/>
      <w:bookmarkStart w:id="8" w:name="_Toc384710343"/>
      <w:bookmarkStart w:id="9" w:name="_Toc383599103"/>
      <w:bookmarkStart w:id="10" w:name="_Toc383521728"/>
      <w:bookmarkStart w:id="11" w:name="_Toc383439946"/>
      <w:bookmarkStart w:id="12" w:name="_Toc384711840"/>
      <w:bookmarkStart w:id="13" w:name="_Toc384711612"/>
      <w:bookmarkStart w:id="14" w:name="_Toc383418250"/>
      <w:bookmarkStart w:id="15" w:name="_Toc383418249"/>
      <w:bookmarkStart w:id="16" w:name="_Toc383377483"/>
      <w:bookmarkStart w:id="17" w:name="_Toc383377482"/>
      <w:bookmarkStart w:id="18" w:name="_Toc383377378"/>
      <w:bookmarkStart w:id="19" w:name="_Toc383377377"/>
      <w:bookmarkStart w:id="20" w:name="_Toc383376944"/>
      <w:bookmarkStart w:id="21" w:name="_Toc383377376"/>
      <w:bookmarkStart w:id="22" w:name="_Toc383376943"/>
    </w:p>
    <w:p w:rsidR="0008215F" w:rsidRDefault="0008215F" w:rsidP="0008215F">
      <w:pPr>
        <w:ind w:firstLine="645"/>
        <w:rPr>
          <w:rFonts w:ascii="仿宋_GB2312" w:eastAsia="仿宋_GB2312" w:cs="方正仿宋_GBK" w:hint="eastAsia"/>
          <w:sz w:val="32"/>
          <w:szCs w:val="32"/>
        </w:rPr>
      </w:pPr>
    </w:p>
    <w:p w:rsidR="0008215F" w:rsidRDefault="0008215F" w:rsidP="0008215F">
      <w:pPr>
        <w:ind w:firstLine="645"/>
        <w:rPr>
          <w:rFonts w:ascii="仿宋_GB2312" w:eastAsia="仿宋_GB2312" w:cs="方正仿宋_GBK" w:hint="eastAsia"/>
          <w:sz w:val="32"/>
          <w:szCs w:val="32"/>
        </w:rPr>
      </w:pPr>
    </w:p>
    <w:p w:rsidR="00E95533" w:rsidRDefault="00E95533" w:rsidP="0008215F">
      <w:pPr>
        <w:ind w:firstLine="645"/>
        <w:rPr>
          <w:rFonts w:ascii="仿宋_GB2312" w:eastAsia="仿宋_GB2312" w:cs="方正仿宋_GBK" w:hint="eastAsia"/>
          <w:sz w:val="32"/>
          <w:szCs w:val="32"/>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rsidR="0008215F" w:rsidRDefault="0008215F" w:rsidP="0008215F">
      <w:pPr>
        <w:spacing w:line="480" w:lineRule="exact"/>
        <w:jc w:val="center"/>
        <w:rPr>
          <w:rFonts w:ascii="小标宋" w:eastAsia="小标宋" w:hAnsi="华文中宋" w:hint="eastAsia"/>
          <w:sz w:val="44"/>
          <w:szCs w:val="44"/>
        </w:rPr>
      </w:pPr>
      <w:r>
        <w:rPr>
          <w:rFonts w:ascii="小标宋" w:eastAsia="小标宋" w:hAnsi="华文中宋" w:hint="eastAsia"/>
          <w:sz w:val="44"/>
          <w:szCs w:val="44"/>
        </w:rPr>
        <w:lastRenderedPageBreak/>
        <w:t>昆明理工大学住宿费收缴管理办法</w:t>
      </w:r>
    </w:p>
    <w:p w:rsidR="0008215F" w:rsidRDefault="0008215F" w:rsidP="0008215F">
      <w:pPr>
        <w:snapToGrid w:val="0"/>
        <w:spacing w:line="480" w:lineRule="exact"/>
        <w:jc w:val="center"/>
        <w:rPr>
          <w:rFonts w:ascii="仿宋" w:eastAsia="仿宋" w:hAnsi="仿宋" w:hint="eastAsia"/>
          <w:sz w:val="32"/>
          <w:szCs w:val="32"/>
        </w:rPr>
      </w:pP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一  总    则</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第一条</w:t>
      </w:r>
      <w:r>
        <w:rPr>
          <w:rFonts w:ascii="仿宋_GB2312" w:eastAsia="仿宋_GB2312" w:hAnsi="仿宋" w:hint="eastAsia"/>
          <w:sz w:val="32"/>
          <w:szCs w:val="32"/>
        </w:rPr>
        <w:t xml:space="preserve">  为加强住宿费管理，规范收费行为，切实维护学校和学生的合法权益，根据《高等学校收费管理暂行办法》（教财〔1996〕101号）、《普通高等学校学生管理规定》（教育部令第21号）、《关于进一步规范高校教育收费管理若干问题的通知》（教财〔2006〕2号）、《关于重新核定高校函授生入住学生公寓或宿舍住宿费收费标准的通知》（云价收费〔2010〕21号）的精神，结合我校实际，特制定本办法。</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第二条</w:t>
      </w:r>
      <w:r>
        <w:rPr>
          <w:rFonts w:ascii="仿宋_GB2312" w:eastAsia="仿宋_GB2312" w:hAnsi="仿宋" w:hint="eastAsia"/>
          <w:sz w:val="32"/>
          <w:szCs w:val="32"/>
        </w:rPr>
        <w:t xml:space="preserve">  高等教育属于非义务教育阶段，学校依据国家及省有关规定，向住宿学生收取住宿费。</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二  住宿费的缴纳</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第三条</w:t>
      </w:r>
      <w:r>
        <w:rPr>
          <w:rFonts w:ascii="仿宋_GB2312" w:eastAsia="仿宋_GB2312" w:hAnsi="仿宋" w:hint="eastAsia"/>
          <w:sz w:val="32"/>
          <w:szCs w:val="32"/>
        </w:rPr>
        <w:t xml:space="preserve">  学校根据云南省物价部门审批的标准按学年收取住宿费。住宿费每学期按5个月、每学年按10个月计算，所有住宿学生均按照正常学制年限于每学年开学初缴清该学年住宿费。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第四条</w:t>
      </w:r>
      <w:r>
        <w:rPr>
          <w:rFonts w:ascii="仿宋_GB2312" w:eastAsia="仿宋_GB2312" w:hAnsi="仿宋" w:hint="eastAsia"/>
          <w:sz w:val="32"/>
          <w:szCs w:val="32"/>
        </w:rPr>
        <w:t xml:space="preserve">  学校在每学年开学前对经有关部门审核批准的收费标准向住宿学生和社会进行公示，主动接受学生、家长和社会的监督。</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第五条</w:t>
      </w:r>
      <w:r>
        <w:rPr>
          <w:rFonts w:ascii="仿宋_GB2312" w:eastAsia="仿宋_GB2312" w:hAnsi="仿宋" w:hint="eastAsia"/>
          <w:sz w:val="32"/>
          <w:szCs w:val="32"/>
        </w:rPr>
        <w:t xml:space="preserve">  住宿费缴纳时间</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（一）新生应当在入学报到时缴清第一学年住宿费。</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（二）老生应当在每学年开学报到注册期间缴清该学年住宿费。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第六条</w:t>
      </w:r>
      <w:r>
        <w:rPr>
          <w:rFonts w:ascii="仿宋_GB2312" w:eastAsia="仿宋_GB2312" w:hAnsi="仿宋" w:hint="eastAsia"/>
          <w:sz w:val="32"/>
          <w:szCs w:val="32"/>
        </w:rPr>
        <w:t xml:space="preserve">  住宿费缴纳方式</w:t>
      </w:r>
    </w:p>
    <w:p w:rsidR="0008215F" w:rsidRDefault="0008215F" w:rsidP="0008215F">
      <w:pPr>
        <w:widowControl/>
        <w:snapToGrid w:val="0"/>
        <w:spacing w:line="480" w:lineRule="exact"/>
        <w:ind w:firstLineChars="250" w:firstLine="800"/>
        <w:jc w:val="left"/>
        <w:rPr>
          <w:rFonts w:ascii="仿宋_GB2312" w:eastAsia="仿宋_GB2312" w:hAnsi="仿宋" w:hint="eastAsia"/>
          <w:sz w:val="32"/>
          <w:szCs w:val="32"/>
        </w:rPr>
      </w:pPr>
      <w:r>
        <w:rPr>
          <w:rFonts w:ascii="仿宋_GB2312" w:eastAsia="仿宋_GB2312" w:hAnsi="仿宋" w:hint="eastAsia"/>
          <w:sz w:val="32"/>
          <w:szCs w:val="32"/>
        </w:rPr>
        <w:t>（一）银行代扣代缴：每学年报到注册前，住宿学生应将应交住宿费足额存入学校发给的代收学杂费银行卡上，由银行代扣代缴。</w:t>
      </w:r>
    </w:p>
    <w:p w:rsidR="0008215F" w:rsidRDefault="0008215F" w:rsidP="0008215F">
      <w:pPr>
        <w:widowControl/>
        <w:snapToGrid w:val="0"/>
        <w:spacing w:line="480" w:lineRule="exact"/>
        <w:ind w:firstLineChars="225" w:firstLine="720"/>
        <w:jc w:val="left"/>
        <w:rPr>
          <w:rFonts w:ascii="仿宋_GB2312" w:eastAsia="仿宋_GB2312" w:hAnsi="仿宋" w:hint="eastAsia"/>
          <w:sz w:val="32"/>
          <w:szCs w:val="32"/>
        </w:rPr>
      </w:pPr>
      <w:r>
        <w:rPr>
          <w:rFonts w:ascii="仿宋_GB2312" w:eastAsia="仿宋_GB2312" w:hAnsi="仿宋" w:hint="eastAsia"/>
          <w:sz w:val="32"/>
          <w:szCs w:val="32"/>
        </w:rPr>
        <w:lastRenderedPageBreak/>
        <w:t>（二）银行卡缴纳：每学年学生报到注册期间，住宿学生可到学生社区教育管理中心（以下简称“学生社区”）各园区，用银联卡现场刷卡缴纳。</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b/>
          <w:sz w:val="32"/>
          <w:szCs w:val="32"/>
        </w:rPr>
        <w:t>第七条</w:t>
      </w:r>
      <w:r>
        <w:rPr>
          <w:rFonts w:ascii="仿宋_GB2312" w:eastAsia="仿宋_GB2312" w:hAnsi="仿宋" w:hint="eastAsia"/>
          <w:sz w:val="32"/>
          <w:szCs w:val="32"/>
        </w:rPr>
        <w:t xml:space="preserve">  因学制等原因，超出正常学制年限仍需在校完成学业的住宿学生，住宿费仍按学年交纳，学业结束后以实际住宿时间按月结算住宿费。</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三  住宿费的缓交</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第八条</w:t>
      </w:r>
      <w:r>
        <w:rPr>
          <w:rFonts w:ascii="仿宋_GB2312" w:eastAsia="仿宋_GB2312" w:hAnsi="仿宋" w:hint="eastAsia"/>
          <w:sz w:val="32"/>
          <w:szCs w:val="32"/>
        </w:rPr>
        <w:t xml:space="preserve">  住宿费的缓交</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（一）住宿费原则上不能缓交。</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（二）</w:t>
      </w:r>
      <w:bookmarkStart w:id="23" w:name="OLE_LINK3"/>
      <w:r>
        <w:rPr>
          <w:rFonts w:ascii="仿宋_GB2312" w:eastAsia="仿宋_GB2312" w:hAnsi="仿宋" w:hint="eastAsia"/>
          <w:sz w:val="32"/>
          <w:szCs w:val="32"/>
        </w:rPr>
        <w:t>确因家庭经济困难，短期内不能缴纳住宿费的住宿学生，应当在该学年开学报到注册期间，由住宿学生填写缓交住宿费申请，经学院（含研究生培养单位）审核同意，到学生社区办理缓交手续，缓交期限一般不超过三个月，其中申请生源地贷款（助学贷款）的住宿学生，缓交期限至住宿费实际到账之日。</w:t>
      </w:r>
    </w:p>
    <w:bookmarkEnd w:id="23"/>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（三）新生报到通过绿色通道办理入学手续的，住宿费的缓交，由学院（含研究生培养单位）、学生社区现场办理。</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第九条</w:t>
      </w:r>
      <w:r>
        <w:rPr>
          <w:rFonts w:ascii="仿宋_GB2312" w:eastAsia="仿宋_GB2312" w:hAnsi="仿宋" w:hint="eastAsia"/>
          <w:sz w:val="32"/>
          <w:szCs w:val="32"/>
        </w:rPr>
        <w:t xml:space="preserve">  缓交受理程序</w:t>
      </w:r>
    </w:p>
    <w:p w:rsidR="0008215F" w:rsidRDefault="0008215F" w:rsidP="0008215F">
      <w:pPr>
        <w:widowControl/>
        <w:snapToGrid w:val="0"/>
        <w:spacing w:line="480"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一）住宿学生提交《昆明理工大学学生住宿费缓交申请表》至学院（含研究生培养单位），其中本科生经学院分管学生工作的副书记，研究生经研究生教育办公室主任初审并签署意见后，在开学后两周内，将《昆明理工大学学生住宿费缓交申请表》报学生社区。</w:t>
      </w:r>
    </w:p>
    <w:p w:rsidR="0008215F" w:rsidRDefault="0008215F" w:rsidP="0008215F">
      <w:pPr>
        <w:widowControl/>
        <w:snapToGrid w:val="0"/>
        <w:spacing w:line="480" w:lineRule="exact"/>
        <w:ind w:firstLineChars="225" w:firstLine="720"/>
        <w:jc w:val="left"/>
        <w:rPr>
          <w:rFonts w:ascii="仿宋_GB2312" w:eastAsia="仿宋_GB2312" w:hAnsi="仿宋" w:hint="eastAsia"/>
          <w:sz w:val="32"/>
          <w:szCs w:val="32"/>
        </w:rPr>
      </w:pPr>
      <w:r>
        <w:rPr>
          <w:rFonts w:ascii="仿宋_GB2312" w:eastAsia="仿宋_GB2312" w:hAnsi="仿宋" w:hint="eastAsia"/>
          <w:sz w:val="32"/>
          <w:szCs w:val="32"/>
        </w:rPr>
        <w:t>（二）学生社区对上报的《昆明理工大学学生住宿费缓交申请表》审核、签字批准后，在开学后一个月内将《昆明理工大学学生缓交住宿费汇总表》送财务处、相关学院（含研究生培养单位）。</w:t>
      </w:r>
    </w:p>
    <w:p w:rsidR="0008215F" w:rsidRDefault="0008215F" w:rsidP="0008215F">
      <w:pPr>
        <w:widowControl/>
        <w:snapToGrid w:val="0"/>
        <w:spacing w:line="480" w:lineRule="exact"/>
        <w:ind w:firstLineChars="225" w:firstLine="720"/>
        <w:jc w:val="left"/>
        <w:rPr>
          <w:rFonts w:ascii="仿宋_GB2312" w:eastAsia="仿宋_GB2312" w:hAnsi="仿宋" w:hint="eastAsia"/>
          <w:sz w:val="32"/>
          <w:szCs w:val="32"/>
        </w:rPr>
      </w:pPr>
      <w:r>
        <w:rPr>
          <w:rFonts w:ascii="仿宋_GB2312" w:eastAsia="仿宋_GB2312" w:hAnsi="仿宋" w:hint="eastAsia"/>
          <w:sz w:val="32"/>
          <w:szCs w:val="32"/>
        </w:rPr>
        <w:t>（三）《昆明理工大学学生住宿费缓交申请表》一式四份，经批准后，学院（含研究生培养单位）、教务处（研究生院）、学生社区和住宿学生各执一份。</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lastRenderedPageBreak/>
        <w:t>四  住宿费退费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第十条</w:t>
      </w:r>
      <w:r>
        <w:rPr>
          <w:rFonts w:ascii="仿宋_GB2312" w:eastAsia="仿宋_GB2312" w:hAnsi="仿宋" w:hint="eastAsia"/>
          <w:sz w:val="32"/>
          <w:szCs w:val="32"/>
        </w:rPr>
        <w:t xml:space="preserve">  如住宿学生因故退学、提前结束学业、转学的，按照其实际住宿时间按月结算住宿费，住宿不满一个月的按照一个月计算。</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第十一条</w:t>
      </w:r>
      <w:r>
        <w:rPr>
          <w:rFonts w:ascii="仿宋_GB2312" w:eastAsia="仿宋_GB2312" w:hAnsi="仿宋" w:hint="eastAsia"/>
          <w:sz w:val="32"/>
          <w:szCs w:val="32"/>
        </w:rPr>
        <w:t xml:space="preserve">  休学或保留入学资格的住宿学生，已缴纳住宿费的暂不退费，待复学时按所住宿的标准实行多退少补。无法复学的，按照其实际住宿时间按月结算住宿费。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第十二条</w:t>
      </w:r>
      <w:r>
        <w:rPr>
          <w:rFonts w:ascii="仿宋_GB2312" w:eastAsia="仿宋_GB2312" w:hAnsi="仿宋" w:hint="eastAsia"/>
          <w:sz w:val="32"/>
          <w:szCs w:val="32"/>
        </w:rPr>
        <w:t xml:space="preserve">  退费的住宿学生持退费申请书、原始发票，经学院（含研究生培养单位）审核签字后，到学生社区办理退费手续。</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第十三条</w:t>
      </w:r>
      <w:r>
        <w:rPr>
          <w:rFonts w:ascii="仿宋_GB2312" w:eastAsia="仿宋_GB2312" w:hAnsi="仿宋" w:hint="eastAsia"/>
          <w:sz w:val="32"/>
          <w:szCs w:val="32"/>
        </w:rPr>
        <w:t xml:space="preserve">  住宿学生交流、休学、入伍、长期离校学习或实习半年及以上的，凭有关证明到学生社区办理退宿手续，离校期间免收住宿费（个人物品须带走）。由于住宿学生自身原因没有办理退宿手续的，住宿学生已缴的住宿费不予退费，没缴住宿费的按照欠费予以补缴。</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五  欠费的处理</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第十四条</w:t>
      </w:r>
      <w:r>
        <w:rPr>
          <w:rFonts w:ascii="仿宋_GB2312" w:eastAsia="仿宋_GB2312" w:hAnsi="仿宋" w:hint="eastAsia"/>
          <w:sz w:val="32"/>
          <w:szCs w:val="32"/>
        </w:rPr>
        <w:t xml:space="preserve">  办理了住宿费缓交、生源地贷款（助学贷款）的住宿学生，在缓交期间和贷款未到账之前，不视为欠费。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第十五条</w:t>
      </w:r>
      <w:r>
        <w:rPr>
          <w:rFonts w:ascii="仿宋_GB2312" w:eastAsia="仿宋_GB2312" w:hAnsi="仿宋" w:hint="eastAsia"/>
          <w:sz w:val="32"/>
          <w:szCs w:val="32"/>
        </w:rPr>
        <w:t xml:space="preserve">  根据学校学生学籍管理有关规定，教务处、研究生院对无正当理由欠费的住宿学生，不予以注册。</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第十六条</w:t>
      </w:r>
      <w:r>
        <w:rPr>
          <w:rFonts w:ascii="仿宋_GB2312" w:eastAsia="仿宋_GB2312" w:hAnsi="仿宋" w:hint="eastAsia"/>
          <w:sz w:val="32"/>
          <w:szCs w:val="32"/>
        </w:rPr>
        <w:t xml:space="preserve">  学生处、研究生院对无正当理由欠费的住宿学生，取消其评奖、评优的资格。</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第十七条</w:t>
      </w:r>
      <w:r>
        <w:rPr>
          <w:rFonts w:ascii="仿宋_GB2312" w:eastAsia="仿宋_GB2312" w:hAnsi="仿宋" w:hint="eastAsia"/>
          <w:sz w:val="32"/>
          <w:szCs w:val="32"/>
        </w:rPr>
        <w:t xml:space="preserve">  毕业答辩前仍未缴清住宿费的住宿学生，各有关学院（含研究生培养单位）不予办理答辩手续。</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六  其    他</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第十八条</w:t>
      </w:r>
      <w:r>
        <w:rPr>
          <w:rFonts w:ascii="仿宋_GB2312" w:eastAsia="仿宋_GB2312" w:hAnsi="仿宋" w:hint="eastAsia"/>
          <w:sz w:val="32"/>
          <w:szCs w:val="32"/>
        </w:rPr>
        <w:t xml:space="preserve">  学校所收住宿费已纳入国家非税收入，用于弥补事业收入不足、偿还建设贷款本息，建设配套设施（学生活动设施、家具、环境绿化等）和物业管理、维修改造旧宿舍等项费用的开支。</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第十九条</w:t>
      </w:r>
      <w:r>
        <w:rPr>
          <w:rFonts w:ascii="仿宋_GB2312" w:eastAsia="仿宋_GB2312" w:hAnsi="仿宋" w:hint="eastAsia"/>
          <w:sz w:val="32"/>
          <w:szCs w:val="32"/>
        </w:rPr>
        <w:t xml:space="preserve">  教务处、研究生院在新生录取结束后，及时将新生基本信息以电子版和纸质版两种形式通知财务处、学生社区；学生学籍异动的，每月把有关学生信息以电子版和纸质版通知财务处、学生社区。</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第二十条</w:t>
      </w:r>
      <w:r>
        <w:rPr>
          <w:rFonts w:ascii="仿宋_GB2312" w:eastAsia="仿宋_GB2312" w:hAnsi="仿宋" w:hint="eastAsia"/>
          <w:sz w:val="32"/>
          <w:szCs w:val="32"/>
        </w:rPr>
        <w:t xml:space="preserve">  教务处、研究生院及时将不能按期毕业的学生信息以电子版和纸质版通知财务处、学生社区。不能按期</w:t>
      </w:r>
      <w:smartTag w:uri="urn:schemas-microsoft-com:office:smarttags" w:element="PersonName">
        <w:smartTagPr>
          <w:attr w:name="ProductID" w:val="毕业的"/>
        </w:smartTagPr>
        <w:r>
          <w:rPr>
            <w:rFonts w:ascii="仿宋_GB2312" w:eastAsia="仿宋_GB2312" w:hAnsi="仿宋" w:hint="eastAsia"/>
            <w:sz w:val="32"/>
            <w:szCs w:val="32"/>
          </w:rPr>
          <w:t>毕业的</w:t>
        </w:r>
      </w:smartTag>
      <w:r>
        <w:rPr>
          <w:rFonts w:ascii="仿宋_GB2312" w:eastAsia="仿宋_GB2312" w:hAnsi="仿宋" w:hint="eastAsia"/>
          <w:sz w:val="32"/>
          <w:szCs w:val="32"/>
        </w:rPr>
        <w:t>博士生、硕士生、本科生，如仍需住宿的须按规定缴纳住宿费。</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第二十一条</w:t>
      </w:r>
      <w:r>
        <w:rPr>
          <w:rFonts w:ascii="仿宋_GB2312" w:eastAsia="仿宋_GB2312" w:hAnsi="仿宋" w:hint="eastAsia"/>
          <w:sz w:val="32"/>
          <w:szCs w:val="32"/>
        </w:rPr>
        <w:t xml:space="preserve">  财务处负责新生入学期间住宿费的收取、登记、查询等工作。其他收费期间，由</w:t>
      </w:r>
      <w:bookmarkStart w:id="24" w:name="OLE_LINK2"/>
      <w:r>
        <w:rPr>
          <w:rFonts w:ascii="仿宋_GB2312" w:eastAsia="仿宋_GB2312" w:hAnsi="仿宋" w:hint="eastAsia"/>
          <w:sz w:val="32"/>
          <w:szCs w:val="32"/>
        </w:rPr>
        <w:t>学生社区</w:t>
      </w:r>
      <w:bookmarkEnd w:id="24"/>
      <w:r>
        <w:rPr>
          <w:rFonts w:ascii="仿宋_GB2312" w:eastAsia="仿宋_GB2312" w:hAnsi="仿宋" w:hint="eastAsia"/>
          <w:sz w:val="32"/>
          <w:szCs w:val="32"/>
        </w:rPr>
        <w:t>负责住宿费的收取、登记、查询、票据打印分发等工作。</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第二十二条</w:t>
      </w:r>
      <w:r>
        <w:rPr>
          <w:rFonts w:ascii="仿宋_GB2312" w:eastAsia="仿宋_GB2312" w:hAnsi="仿宋" w:hint="eastAsia"/>
          <w:sz w:val="32"/>
          <w:szCs w:val="32"/>
        </w:rPr>
        <w:t xml:space="preserve">  学生社区每月将住宿学生欠费信息报送学生处、研究生院、相关学院（含研究生培养单位），进行催收。</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第二十三条</w:t>
      </w:r>
      <w:r>
        <w:rPr>
          <w:rFonts w:ascii="仿宋_GB2312" w:eastAsia="仿宋_GB2312" w:hAnsi="仿宋" w:hint="eastAsia"/>
          <w:sz w:val="32"/>
          <w:szCs w:val="32"/>
        </w:rPr>
        <w:t xml:space="preserve">  各有关部门要高度重视并支持住宿费的催收工作，并指定专人负责住宿费的催收工作，其中本科生由学院分管学生工作的副书记负责，研究生由学院（含研究生培养单位）研究生教育办公室主任负责。</w:t>
      </w:r>
    </w:p>
    <w:p w:rsidR="0008215F" w:rsidRDefault="0008215F" w:rsidP="0008215F">
      <w:pPr>
        <w:snapToGrid w:val="0"/>
        <w:spacing w:line="480" w:lineRule="exact"/>
        <w:jc w:val="center"/>
        <w:rPr>
          <w:rFonts w:ascii="方正黑体_GBK" w:eastAsia="方正黑体_GBK" w:hAnsi="仿宋" w:hint="eastAsia"/>
          <w:sz w:val="32"/>
          <w:szCs w:val="32"/>
        </w:rPr>
      </w:pPr>
      <w:r>
        <w:rPr>
          <w:rFonts w:ascii="方正黑体_GBK" w:eastAsia="方正黑体_GBK" w:hAnsi="仿宋" w:hint="eastAsia"/>
          <w:sz w:val="32"/>
          <w:szCs w:val="32"/>
        </w:rPr>
        <w:t>七  附    则</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第二十四条</w:t>
      </w:r>
      <w:r>
        <w:rPr>
          <w:rFonts w:ascii="仿宋_GB2312" w:eastAsia="仿宋_GB2312" w:hAnsi="仿宋" w:hint="eastAsia"/>
          <w:sz w:val="32"/>
          <w:szCs w:val="32"/>
        </w:rPr>
        <w:t xml:space="preserve">  学校采取奖、贷、减、免、助、缓等措施，帮助经济困难的学生完成学业，保证学生不因经济困难而辍学。确需减免住宿费的按照国家、省及学校有关规定执行。</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第二十五条</w:t>
      </w:r>
      <w:r>
        <w:rPr>
          <w:rFonts w:ascii="仿宋_GB2312" w:eastAsia="仿宋_GB2312" w:hAnsi="仿宋" w:hint="eastAsia"/>
          <w:sz w:val="32"/>
          <w:szCs w:val="32"/>
        </w:rPr>
        <w:t xml:space="preserve">  本办法经2014年第七次校长办公会审议通过，自发布之日起执行。原《昆明理工大学住宿费收缴管理办法》（昆理工大校字〔2010〕47号）同时废止。</w:t>
      </w:r>
    </w:p>
    <w:p w:rsidR="0008215F" w:rsidRDefault="0008215F" w:rsidP="0008215F">
      <w:pPr>
        <w:snapToGrid w:val="0"/>
        <w:spacing w:line="48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 xml:space="preserve">第二十六条  </w:t>
      </w:r>
      <w:r>
        <w:rPr>
          <w:rFonts w:ascii="仿宋_GB2312" w:eastAsia="仿宋_GB2312" w:hAnsi="仿宋" w:hint="eastAsia"/>
          <w:sz w:val="32"/>
          <w:szCs w:val="32"/>
        </w:rPr>
        <w:t>本办法由财务处、学生社区教育管理中心负责解释。</w:t>
      </w:r>
    </w:p>
    <w:p w:rsidR="0008215F" w:rsidRDefault="0008215F" w:rsidP="0008215F">
      <w:pPr>
        <w:spacing w:line="480" w:lineRule="exact"/>
        <w:ind w:firstLineChars="200" w:firstLine="640"/>
        <w:rPr>
          <w:rFonts w:ascii="仿宋" w:eastAsia="仿宋" w:hAnsi="仿宋" w:hint="eastAsia"/>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p w:rsidR="0008215F" w:rsidRDefault="0008215F" w:rsidP="0008215F">
      <w:pPr>
        <w:spacing w:line="120" w:lineRule="exact"/>
        <w:ind w:rightChars="-318" w:right="-668"/>
        <w:rPr>
          <w:rFonts w:ascii="仿宋_GB2312" w:eastAsia="仿宋_GB2312" w:hAnsi="宋体" w:cs="宋体" w:hint="eastAsia"/>
          <w:kern w:val="0"/>
          <w:sz w:val="32"/>
          <w:szCs w:val="32"/>
        </w:rPr>
      </w:pPr>
    </w:p>
    <w:tbl>
      <w:tblPr>
        <w:tblW w:w="9594" w:type="dxa"/>
        <w:tblInd w:w="108" w:type="dxa"/>
        <w:tblLook w:val="0000" w:firstRow="0" w:lastRow="0" w:firstColumn="0" w:lastColumn="0" w:noHBand="0" w:noVBand="0"/>
      </w:tblPr>
      <w:tblGrid>
        <w:gridCol w:w="5454"/>
        <w:gridCol w:w="4140"/>
      </w:tblGrid>
      <w:tr w:rsidR="0008215F" w:rsidTr="0008215F">
        <w:trPr>
          <w:trHeight w:val="567"/>
        </w:trPr>
        <w:tc>
          <w:tcPr>
            <w:tcW w:w="5454" w:type="dxa"/>
            <w:tcBorders>
              <w:top w:val="single" w:sz="4" w:space="0" w:color="000000"/>
              <w:left w:val="nil"/>
              <w:bottom w:val="single" w:sz="4" w:space="0" w:color="000000"/>
              <w:right w:val="nil"/>
            </w:tcBorders>
            <w:vAlign w:val="center"/>
          </w:tcPr>
          <w:p w:rsidR="0008215F" w:rsidRDefault="0008215F">
            <w:pPr>
              <w:adjustRightInd w:val="0"/>
              <w:snapToGrid w:val="0"/>
              <w:spacing w:line="520" w:lineRule="exact"/>
              <w:ind w:firstLineChars="100" w:firstLine="300"/>
              <w:rPr>
                <w:rFonts w:ascii="仿宋_GB2312" w:eastAsia="仿宋_GB2312"/>
                <w:sz w:val="30"/>
                <w:szCs w:val="30"/>
              </w:rPr>
            </w:pPr>
            <w:r>
              <w:rPr>
                <w:rFonts w:ascii="仿宋_GB2312" w:eastAsia="仿宋_GB2312" w:hint="eastAsia"/>
                <w:sz w:val="30"/>
                <w:szCs w:val="30"/>
              </w:rPr>
              <w:t>昆明理工大学办公室</w:t>
            </w:r>
          </w:p>
        </w:tc>
        <w:tc>
          <w:tcPr>
            <w:tcW w:w="4140" w:type="dxa"/>
            <w:tcBorders>
              <w:top w:val="single" w:sz="4" w:space="0" w:color="000000"/>
              <w:left w:val="nil"/>
              <w:bottom w:val="single" w:sz="4" w:space="0" w:color="000000"/>
              <w:right w:val="nil"/>
            </w:tcBorders>
            <w:vAlign w:val="center"/>
          </w:tcPr>
          <w:p w:rsidR="0008215F" w:rsidRDefault="0008215F">
            <w:pPr>
              <w:adjustRightInd w:val="0"/>
              <w:snapToGrid w:val="0"/>
              <w:spacing w:line="520" w:lineRule="exact"/>
              <w:ind w:firstLineChars="350" w:firstLine="1050"/>
              <w:rPr>
                <w:rFonts w:ascii="仿宋_GB2312" w:eastAsia="仿宋_GB2312"/>
                <w:sz w:val="30"/>
                <w:szCs w:val="30"/>
              </w:rPr>
            </w:pP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hint="eastAsia"/>
                  <w:sz w:val="30"/>
                  <w:szCs w:val="30"/>
                </w:rPr>
                <w:t>2014年6月17日</w:t>
              </w:r>
            </w:smartTag>
            <w:r>
              <w:rPr>
                <w:rFonts w:ascii="仿宋_GB2312" w:eastAsia="仿宋_GB2312" w:hint="eastAsia"/>
                <w:sz w:val="30"/>
                <w:szCs w:val="30"/>
              </w:rPr>
              <w:t>印</w:t>
            </w:r>
          </w:p>
        </w:tc>
      </w:tr>
    </w:tbl>
    <w:p w:rsidR="0008215F" w:rsidRDefault="0008215F" w:rsidP="0008215F">
      <w:pPr>
        <w:widowControl/>
        <w:spacing w:line="40" w:lineRule="exact"/>
        <w:jc w:val="center"/>
        <w:rPr>
          <w:rFonts w:hint="eastAsia"/>
        </w:rPr>
      </w:pPr>
    </w:p>
    <w:p w:rsidR="0045121D" w:rsidRDefault="0045121D"/>
    <w:sectPr w:rsidR="0045121D" w:rsidSect="00E95533">
      <w:headerReference w:type="default" r:id="rId10"/>
      <w:footerReference w:type="even" r:id="rId11"/>
      <w:footerReference w:type="default" r:id="rId12"/>
      <w:pgSz w:w="11906" w:h="16838"/>
      <w:pgMar w:top="1440" w:right="1418" w:bottom="1440" w:left="1418"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20BA" w:rsidRDefault="00BC20BA">
      <w:r>
        <w:separator/>
      </w:r>
    </w:p>
  </w:endnote>
  <w:endnote w:type="continuationSeparator" w:id="0">
    <w:p w:rsidR="00BC20BA" w:rsidRDefault="00BC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小标宋">
    <w:altName w:val="微软雅黑"/>
    <w:charset w:val="86"/>
    <w:family w:val="script"/>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仿宋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5533" w:rsidRDefault="00E95533" w:rsidP="00E955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95533" w:rsidRDefault="00E9553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5533" w:rsidRDefault="00E95533" w:rsidP="00E955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D3F01">
      <w:rPr>
        <w:rStyle w:val="a4"/>
        <w:noProof/>
      </w:rPr>
      <w:t>- 5 -</w:t>
    </w:r>
    <w:r>
      <w:rPr>
        <w:rStyle w:val="a4"/>
      </w:rPr>
      <w:fldChar w:fldCharType="end"/>
    </w:r>
  </w:p>
  <w:p w:rsidR="00E95533" w:rsidRDefault="00E955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20BA" w:rsidRDefault="00BC20BA">
      <w:r>
        <w:separator/>
      </w:r>
    </w:p>
  </w:footnote>
  <w:footnote w:type="continuationSeparator" w:id="0">
    <w:p w:rsidR="00BC20BA" w:rsidRDefault="00BC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F01" w:rsidRDefault="001D3F01" w:rsidP="001D3F01">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comments" w:enforcement="1" w:cryptProviderType="rsaAES" w:cryptAlgorithmClass="hash" w:cryptAlgorithmType="typeAny" w:cryptAlgorithmSid="14" w:cryptSpinCount="100000" w:hash="hQxbQJQq6/XzpirYODvyXqYVSraGXg2tGt7O+GAGjyapvTZ17WDwFFx/nTOctRsP20dzDF8MwLLwuQIJQcxrHA==" w:salt="9VXT5j9d0pv9dguKO9Bojw=="/>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21D"/>
    <w:rsid w:val="0008215F"/>
    <w:rsid w:val="001D3F01"/>
    <w:rsid w:val="0045121D"/>
    <w:rsid w:val="00936B01"/>
    <w:rsid w:val="00BC20BA"/>
    <w:rsid w:val="00E9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903366B9-8032-4554-8CAC-824E2E55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215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E95533"/>
    <w:pPr>
      <w:tabs>
        <w:tab w:val="center" w:pos="4153"/>
        <w:tab w:val="right" w:pos="8306"/>
      </w:tabs>
      <w:snapToGrid w:val="0"/>
      <w:jc w:val="left"/>
    </w:pPr>
    <w:rPr>
      <w:sz w:val="18"/>
      <w:szCs w:val="18"/>
    </w:rPr>
  </w:style>
  <w:style w:type="character" w:styleId="a4">
    <w:name w:val="page number"/>
    <w:basedOn w:val="a0"/>
    <w:rsid w:val="00E95533"/>
  </w:style>
  <w:style w:type="paragraph" w:styleId="a5">
    <w:name w:val="header"/>
    <w:basedOn w:val="a"/>
    <w:rsid w:val="001D3F01"/>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400</Words>
  <Characters>2280</Characters>
  <Application>Microsoft Office Word</Application>
  <DocSecurity>8</DocSecurity>
  <Lines>19</Lines>
  <Paragraphs>5</Paragraphs>
  <ScaleCrop>false</ScaleCrop>
  <Company>China</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尚 若冰</cp:lastModifiedBy>
  <cp:revision>2</cp:revision>
  <dcterms:created xsi:type="dcterms:W3CDTF">2022-03-05T03:40:00Z</dcterms:created>
  <dcterms:modified xsi:type="dcterms:W3CDTF">2022-03-05T03:40:00Z</dcterms:modified>
</cp:coreProperties>
</file>