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52B4B">
      <w:pPr>
        <w:spacing w:line="360" w:lineRule="auto"/>
        <w:ind w:firstLineChars="250" w:firstLine="1205"/>
        <w:rPr>
          <w:rFonts w:ascii="华文仿宋" w:eastAsia="华文仿宋" w:hAnsi="华文仿宋" w:hint="eastAsia"/>
          <w:sz w:val="32"/>
          <w:szCs w:val="32"/>
        </w:rPr>
      </w:pPr>
      <w:r>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87pt;margin-top:-14.25pt;width:168.3pt;height:129.8pt;z-index:251657728;mso-wrap-style:square">
            <v:imagedata r:id="rId7" o:title="昆明理工大学校标01"/>
          </v:shape>
        </w:pict>
      </w:r>
      <w:r>
        <w:rPr>
          <w:rFonts w:ascii="宋体" w:hAnsi="宋体" w:hint="eastAsia"/>
          <w:b/>
          <w:sz w:val="52"/>
          <w:szCs w:val="52"/>
        </w:rPr>
        <w:t>昆明理工大学学生工作部（处）</w:t>
      </w:r>
    </w:p>
    <w:p w:rsidR="00000000" w:rsidRDefault="00D52B4B">
      <w:pPr>
        <w:spacing w:line="360" w:lineRule="auto"/>
        <w:ind w:right="1140"/>
        <w:jc w:val="center"/>
        <w:rPr>
          <w:rFonts w:ascii="华文仿宋" w:eastAsia="华文仿宋" w:hAnsi="华文仿宋" w:hint="eastAsia"/>
          <w:sz w:val="32"/>
          <w:szCs w:val="32"/>
        </w:rPr>
      </w:pPr>
      <w:r>
        <w:rPr>
          <w:rFonts w:ascii="华文仿宋" w:eastAsia="华文仿宋" w:hAnsi="华文仿宋" w:hint="eastAsia"/>
          <w:sz w:val="32"/>
          <w:szCs w:val="32"/>
        </w:rPr>
        <w:t xml:space="preserve">         </w:t>
      </w:r>
      <w:r>
        <w:rPr>
          <w:rFonts w:ascii="华文仿宋" w:eastAsia="华文仿宋" w:hAnsi="华文仿宋" w:hint="eastAsia"/>
          <w:sz w:val="32"/>
          <w:szCs w:val="32"/>
        </w:rPr>
        <w:t>学生处教字〔</w:t>
      </w:r>
      <w:r>
        <w:rPr>
          <w:rFonts w:ascii="华文仿宋" w:eastAsia="华文仿宋" w:hAnsi="华文仿宋" w:hint="eastAsia"/>
          <w:sz w:val="32"/>
          <w:szCs w:val="32"/>
        </w:rPr>
        <w:t>201</w:t>
      </w:r>
      <w:r>
        <w:rPr>
          <w:rFonts w:ascii="华文仿宋" w:eastAsia="华文仿宋" w:hAnsi="华文仿宋" w:hint="eastAsia"/>
          <w:sz w:val="32"/>
          <w:szCs w:val="32"/>
        </w:rPr>
        <w:t>5</w:t>
      </w:r>
      <w:r>
        <w:rPr>
          <w:rFonts w:ascii="华文仿宋" w:eastAsia="华文仿宋" w:hAnsi="华文仿宋" w:hint="eastAsia"/>
          <w:sz w:val="32"/>
          <w:szCs w:val="32"/>
        </w:rPr>
        <w:t>〕</w:t>
      </w:r>
      <w:r>
        <w:rPr>
          <w:rFonts w:ascii="华文仿宋" w:eastAsia="华文仿宋" w:hAnsi="华文仿宋" w:hint="eastAsia"/>
          <w:sz w:val="32"/>
          <w:szCs w:val="32"/>
        </w:rPr>
        <w:t>8</w:t>
      </w:r>
      <w:r>
        <w:rPr>
          <w:rFonts w:ascii="华文仿宋" w:eastAsia="华文仿宋" w:hAnsi="华文仿宋" w:hint="eastAsia"/>
          <w:sz w:val="32"/>
          <w:szCs w:val="32"/>
        </w:rPr>
        <w:t>号</w:t>
      </w:r>
    </w:p>
    <w:p w:rsidR="00000000" w:rsidRDefault="00D52B4B">
      <w:pPr>
        <w:snapToGrid w:val="0"/>
        <w:spacing w:afterLines="100" w:after="312" w:line="360" w:lineRule="auto"/>
        <w:ind w:leftChars="-1" w:left="-2" w:rightChars="-159" w:right="-334"/>
        <w:rPr>
          <w:rFonts w:ascii="黑体" w:eastAsia="黑体" w:hAnsi="黑体" w:cs="黑体" w:hint="eastAsia"/>
          <w:b/>
          <w:bCs/>
          <w:sz w:val="44"/>
          <w:szCs w:val="44"/>
        </w:rPr>
      </w:pPr>
      <w:r>
        <w:rPr>
          <w:rFonts w:hint="eastAsia"/>
          <w:u w:val="thick"/>
        </w:rPr>
        <w:t xml:space="preserve">                  </w:t>
      </w:r>
      <w:r>
        <w:rPr>
          <w:rFonts w:hint="eastAsia"/>
          <w:b/>
          <w:u w:val="thick"/>
        </w:rPr>
        <w:t xml:space="preserve">                                                             </w:t>
      </w:r>
    </w:p>
    <w:p w:rsidR="00000000" w:rsidRDefault="00D52B4B">
      <w:pPr>
        <w:jc w:val="center"/>
        <w:rPr>
          <w:rFonts w:ascii="黑体" w:eastAsia="黑体" w:hAnsi="黑体" w:cs="黑体" w:hint="eastAsia"/>
          <w:b/>
          <w:bCs/>
          <w:sz w:val="44"/>
          <w:szCs w:val="44"/>
        </w:rPr>
      </w:pPr>
      <w:r>
        <w:rPr>
          <w:rFonts w:ascii="黑体" w:eastAsia="黑体" w:hAnsi="黑体" w:cs="黑体" w:hint="eastAsia"/>
          <w:b/>
          <w:bCs/>
          <w:sz w:val="44"/>
          <w:szCs w:val="44"/>
        </w:rPr>
        <w:t>关于组织我校从事学生工作相关人员观摩学习第四届辅导员职业能力竞赛决赛的</w:t>
      </w:r>
    </w:p>
    <w:p w:rsidR="00000000" w:rsidRDefault="00D52B4B">
      <w:pPr>
        <w:jc w:val="center"/>
        <w:rPr>
          <w:rFonts w:ascii="黑体" w:eastAsia="黑体" w:hAnsi="黑体" w:cs="黑体" w:hint="eastAsia"/>
          <w:b/>
          <w:bCs/>
          <w:sz w:val="44"/>
          <w:szCs w:val="44"/>
        </w:rPr>
      </w:pPr>
      <w:r>
        <w:rPr>
          <w:rFonts w:ascii="黑体" w:eastAsia="黑体" w:hAnsi="黑体" w:cs="黑体" w:hint="eastAsia"/>
          <w:b/>
          <w:bCs/>
          <w:sz w:val="44"/>
          <w:szCs w:val="44"/>
        </w:rPr>
        <w:t>通</w:t>
      </w:r>
      <w:r>
        <w:rPr>
          <w:rFonts w:ascii="黑体" w:eastAsia="黑体" w:hAnsi="黑体" w:cs="黑体" w:hint="eastAsia"/>
          <w:b/>
          <w:bCs/>
          <w:sz w:val="44"/>
          <w:szCs w:val="44"/>
        </w:rPr>
        <w:t xml:space="preserve">   </w:t>
      </w:r>
      <w:r>
        <w:rPr>
          <w:rFonts w:ascii="黑体" w:eastAsia="黑体" w:hAnsi="黑体" w:cs="黑体" w:hint="eastAsia"/>
          <w:b/>
          <w:bCs/>
          <w:sz w:val="44"/>
          <w:szCs w:val="44"/>
        </w:rPr>
        <w:t>知</w:t>
      </w:r>
    </w:p>
    <w:p w:rsidR="00000000" w:rsidRDefault="00D52B4B">
      <w:pPr>
        <w:jc w:val="center"/>
        <w:rPr>
          <w:rFonts w:ascii="黑体" w:eastAsia="黑体" w:hAnsi="黑体" w:cs="黑体" w:hint="eastAsia"/>
          <w:b/>
          <w:bCs/>
          <w:sz w:val="44"/>
          <w:szCs w:val="44"/>
        </w:rPr>
      </w:pP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各学院：</w:t>
      </w:r>
    </w:p>
    <w:p w:rsidR="00000000" w:rsidRDefault="00D52B4B">
      <w:pPr>
        <w:spacing w:line="360" w:lineRule="auto"/>
        <w:ind w:firstLine="570"/>
        <w:rPr>
          <w:rFonts w:ascii="仿宋_GB2312" w:eastAsia="仿宋_GB2312" w:hint="eastAsia"/>
          <w:sz w:val="32"/>
          <w:szCs w:val="32"/>
        </w:rPr>
      </w:pPr>
      <w:r>
        <w:rPr>
          <w:rFonts w:ascii="仿宋_GB2312" w:eastAsia="仿宋_GB2312" w:hint="eastAsia"/>
          <w:sz w:val="32"/>
          <w:szCs w:val="32"/>
        </w:rPr>
        <w:t>根据《昆明理工大学关于举办第四届辅导员职业能力竞赛的通知》（学生处教字〔</w:t>
      </w:r>
      <w:r>
        <w:rPr>
          <w:rFonts w:ascii="仿宋_GB2312" w:eastAsia="仿宋_GB2312" w:hint="eastAsia"/>
          <w:sz w:val="32"/>
          <w:szCs w:val="32"/>
        </w:rPr>
        <w:t>2015</w:t>
      </w:r>
      <w:r>
        <w:rPr>
          <w:rFonts w:ascii="仿宋_GB2312" w:eastAsia="仿宋_GB2312" w:hint="eastAsia"/>
          <w:sz w:val="32"/>
          <w:szCs w:val="32"/>
        </w:rPr>
        <w:t>〕</w:t>
      </w:r>
      <w:r>
        <w:rPr>
          <w:rFonts w:ascii="仿宋_GB2312" w:eastAsia="仿宋_GB2312" w:hint="eastAsia"/>
          <w:sz w:val="32"/>
          <w:szCs w:val="32"/>
        </w:rPr>
        <w:t>5</w:t>
      </w:r>
      <w:r>
        <w:rPr>
          <w:rFonts w:ascii="仿宋_GB2312" w:eastAsia="仿宋_GB2312" w:hint="eastAsia"/>
          <w:sz w:val="32"/>
          <w:szCs w:val="32"/>
        </w:rPr>
        <w:t>号）文件精神，贯彻“以赛代训，以赛促建；提升职业能力，服务学生成长”的办赛宗旨，请我校从事学生</w:t>
      </w:r>
      <w:r>
        <w:rPr>
          <w:rFonts w:ascii="仿宋_GB2312" w:eastAsia="仿宋_GB2312" w:hint="eastAsia"/>
          <w:sz w:val="32"/>
          <w:szCs w:val="32"/>
        </w:rPr>
        <w:t>工作的学院党委副书记、辅导员、优秀学生干部观摩学习第四届辅导员职业能力竞赛决赛，现将相关事宜通知如下：</w:t>
      </w:r>
    </w:p>
    <w:p w:rsidR="00000000" w:rsidRDefault="00D52B4B">
      <w:pPr>
        <w:spacing w:line="360" w:lineRule="auto"/>
        <w:ind w:firstLine="570"/>
        <w:rPr>
          <w:rFonts w:ascii="仿宋_GB2312" w:eastAsia="仿宋_GB2312" w:hint="eastAsia"/>
          <w:sz w:val="32"/>
          <w:szCs w:val="32"/>
        </w:rPr>
      </w:pPr>
    </w:p>
    <w:p w:rsidR="00000000" w:rsidRDefault="00D52B4B">
      <w:pPr>
        <w:numPr>
          <w:ilvl w:val="0"/>
          <w:numId w:val="1"/>
        </w:numPr>
        <w:spacing w:line="360" w:lineRule="auto"/>
        <w:rPr>
          <w:rFonts w:ascii="黑体" w:eastAsia="黑体" w:hAnsi="黑体" w:cs="黑体" w:hint="eastAsia"/>
          <w:b/>
          <w:bCs/>
          <w:sz w:val="32"/>
          <w:szCs w:val="32"/>
        </w:rPr>
      </w:pPr>
      <w:r>
        <w:rPr>
          <w:rFonts w:ascii="黑体" w:eastAsia="黑体" w:hAnsi="黑体" w:cs="黑体" w:hint="eastAsia"/>
          <w:b/>
          <w:bCs/>
          <w:sz w:val="32"/>
          <w:szCs w:val="32"/>
        </w:rPr>
        <w:t>比赛时间</w:t>
      </w:r>
    </w:p>
    <w:p w:rsidR="00000000" w:rsidRDefault="00D52B4B">
      <w:pPr>
        <w:spacing w:line="360" w:lineRule="auto"/>
        <w:rPr>
          <w:rFonts w:ascii="仿宋_GB2312" w:eastAsia="仿宋_GB2312" w:hint="eastAsia"/>
          <w:sz w:val="32"/>
          <w:szCs w:val="32"/>
        </w:rPr>
      </w:pPr>
      <w:r>
        <w:rPr>
          <w:rFonts w:ascii="黑体" w:eastAsia="黑体" w:hAnsi="黑体" w:cs="黑体" w:hint="eastAsia"/>
          <w:b/>
          <w:bCs/>
          <w:sz w:val="32"/>
          <w:szCs w:val="32"/>
        </w:rPr>
        <w:t xml:space="preserve"> </w:t>
      </w:r>
      <w:r>
        <w:rPr>
          <w:rFonts w:ascii="仿宋_GB2312" w:eastAsia="仿宋_GB2312" w:hint="eastAsia"/>
          <w:sz w:val="32"/>
          <w:szCs w:val="32"/>
        </w:rPr>
        <w:t xml:space="preserve"> 2015</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31</w:t>
      </w:r>
      <w:r>
        <w:rPr>
          <w:rFonts w:ascii="仿宋_GB2312" w:eastAsia="仿宋_GB2312" w:hint="eastAsia"/>
          <w:sz w:val="32"/>
          <w:szCs w:val="32"/>
        </w:rPr>
        <w:t>日</w:t>
      </w:r>
      <w:r>
        <w:rPr>
          <w:rFonts w:ascii="仿宋_GB2312" w:eastAsia="仿宋_GB2312" w:hint="eastAsia"/>
          <w:sz w:val="32"/>
          <w:szCs w:val="32"/>
        </w:rPr>
        <w:t xml:space="preserve">  </w:t>
      </w:r>
      <w:r>
        <w:rPr>
          <w:rFonts w:ascii="仿宋_GB2312" w:eastAsia="仿宋_GB2312" w:hint="eastAsia"/>
          <w:sz w:val="32"/>
          <w:szCs w:val="32"/>
        </w:rPr>
        <w:t>上午</w:t>
      </w:r>
      <w:r>
        <w:rPr>
          <w:rFonts w:ascii="仿宋_GB2312" w:eastAsia="仿宋_GB2312" w:hint="eastAsia"/>
          <w:sz w:val="32"/>
          <w:szCs w:val="32"/>
        </w:rPr>
        <w:t xml:space="preserve">9:00-11:30   </w:t>
      </w:r>
      <w:r>
        <w:rPr>
          <w:rFonts w:ascii="仿宋_GB2312" w:eastAsia="仿宋_GB2312" w:hint="eastAsia"/>
          <w:sz w:val="32"/>
          <w:szCs w:val="32"/>
        </w:rPr>
        <w:t>下午：</w:t>
      </w:r>
      <w:r>
        <w:rPr>
          <w:rFonts w:ascii="仿宋_GB2312" w:eastAsia="仿宋_GB2312" w:hint="eastAsia"/>
          <w:sz w:val="32"/>
          <w:szCs w:val="32"/>
        </w:rPr>
        <w:t>13:30-16:00</w:t>
      </w:r>
    </w:p>
    <w:p w:rsidR="00000000" w:rsidRDefault="00D52B4B">
      <w:pPr>
        <w:numPr>
          <w:ilvl w:val="0"/>
          <w:numId w:val="1"/>
        </w:numPr>
        <w:spacing w:line="360" w:lineRule="auto"/>
        <w:rPr>
          <w:rFonts w:ascii="黑体" w:eastAsia="黑体" w:hAnsi="黑体" w:cs="黑体" w:hint="eastAsia"/>
          <w:b/>
          <w:bCs/>
          <w:sz w:val="32"/>
          <w:szCs w:val="32"/>
        </w:rPr>
      </w:pPr>
      <w:r>
        <w:rPr>
          <w:rFonts w:ascii="黑体" w:eastAsia="黑体" w:hAnsi="黑体" w:cs="黑体" w:hint="eastAsia"/>
          <w:b/>
          <w:bCs/>
          <w:sz w:val="32"/>
          <w:szCs w:val="32"/>
        </w:rPr>
        <w:t>比赛地点</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呈贡校区红土会堂</w:t>
      </w:r>
    </w:p>
    <w:p w:rsidR="00000000" w:rsidRDefault="00D52B4B">
      <w:pPr>
        <w:numPr>
          <w:ilvl w:val="0"/>
          <w:numId w:val="1"/>
        </w:numPr>
        <w:spacing w:line="360" w:lineRule="auto"/>
        <w:rPr>
          <w:rFonts w:ascii="黑体" w:eastAsia="黑体" w:hAnsi="黑体" w:cs="黑体" w:hint="eastAsia"/>
          <w:b/>
          <w:bCs/>
          <w:sz w:val="32"/>
          <w:szCs w:val="32"/>
        </w:rPr>
      </w:pPr>
      <w:r>
        <w:rPr>
          <w:rFonts w:ascii="黑体" w:eastAsia="黑体" w:hAnsi="黑体" w:cs="黑体" w:hint="eastAsia"/>
          <w:b/>
          <w:bCs/>
          <w:sz w:val="32"/>
          <w:szCs w:val="32"/>
        </w:rPr>
        <w:t>比赛内容</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案例分析</w:t>
      </w:r>
      <w:r>
        <w:rPr>
          <w:rFonts w:ascii="仿宋_GB2312" w:eastAsia="仿宋_GB2312" w:hint="eastAsia"/>
          <w:sz w:val="32"/>
          <w:szCs w:val="32"/>
        </w:rPr>
        <w:t xml:space="preserve">   </w:t>
      </w:r>
      <w:r>
        <w:rPr>
          <w:rFonts w:ascii="仿宋_GB2312" w:eastAsia="仿宋_GB2312" w:hint="eastAsia"/>
          <w:sz w:val="32"/>
          <w:szCs w:val="32"/>
        </w:rPr>
        <w:t>主题演讲</w:t>
      </w:r>
      <w:r>
        <w:rPr>
          <w:rFonts w:ascii="仿宋_GB2312" w:eastAsia="仿宋_GB2312" w:hint="eastAsia"/>
          <w:sz w:val="32"/>
          <w:szCs w:val="32"/>
        </w:rPr>
        <w:t xml:space="preserve">  </w:t>
      </w:r>
      <w:r>
        <w:rPr>
          <w:rFonts w:ascii="仿宋_GB2312" w:eastAsia="仿宋_GB2312" w:hint="eastAsia"/>
          <w:sz w:val="32"/>
          <w:szCs w:val="32"/>
        </w:rPr>
        <w:t>谈心谈话</w:t>
      </w:r>
    </w:p>
    <w:p w:rsidR="00000000" w:rsidRDefault="00D52B4B">
      <w:pPr>
        <w:numPr>
          <w:ilvl w:val="0"/>
          <w:numId w:val="1"/>
        </w:numPr>
        <w:spacing w:line="360" w:lineRule="auto"/>
        <w:rPr>
          <w:rFonts w:ascii="黑体" w:eastAsia="黑体" w:hAnsi="黑体" w:cs="黑体" w:hint="eastAsia"/>
          <w:b/>
          <w:bCs/>
          <w:sz w:val="32"/>
          <w:szCs w:val="32"/>
        </w:rPr>
      </w:pPr>
      <w:r>
        <w:rPr>
          <w:rFonts w:ascii="黑体" w:eastAsia="黑体" w:hAnsi="黑体" w:cs="黑体" w:hint="eastAsia"/>
          <w:b/>
          <w:bCs/>
          <w:sz w:val="32"/>
          <w:szCs w:val="32"/>
        </w:rPr>
        <w:t>观摩学习人员</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（一）各学院党委副书记；</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（二）全校专职辅导员、兼职辅导员和工保研辅导员；</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（三）优秀学生干部。</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p>
    <w:p w:rsidR="00000000" w:rsidRDefault="00D52B4B">
      <w:pPr>
        <w:numPr>
          <w:ilvl w:val="0"/>
          <w:numId w:val="1"/>
        </w:numPr>
        <w:spacing w:line="360" w:lineRule="auto"/>
        <w:rPr>
          <w:rFonts w:ascii="黑体" w:eastAsia="黑体" w:hAnsi="黑体" w:cs="黑体" w:hint="eastAsia"/>
          <w:b/>
          <w:bCs/>
          <w:sz w:val="32"/>
          <w:szCs w:val="32"/>
        </w:rPr>
      </w:pPr>
      <w:r>
        <w:rPr>
          <w:rFonts w:ascii="黑体" w:eastAsia="黑体" w:hAnsi="黑体" w:cs="黑体" w:hint="eastAsia"/>
          <w:b/>
          <w:bCs/>
          <w:sz w:val="32"/>
          <w:szCs w:val="32"/>
        </w:rPr>
        <w:t>相关要求</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（一）请全体人员提前</w:t>
      </w:r>
      <w:r>
        <w:rPr>
          <w:rFonts w:ascii="仿宋_GB2312" w:eastAsia="仿宋_GB2312" w:hint="eastAsia"/>
          <w:sz w:val="32"/>
          <w:szCs w:val="32"/>
        </w:rPr>
        <w:t>15</w:t>
      </w:r>
      <w:r>
        <w:rPr>
          <w:rFonts w:ascii="仿宋_GB2312" w:eastAsia="仿宋_GB2312" w:hint="eastAsia"/>
          <w:sz w:val="32"/>
          <w:szCs w:val="32"/>
        </w:rPr>
        <w:t>分钟入场完毕；</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（二）请全体辅导员在入场前到工作人员处签到；</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（三）</w:t>
      </w:r>
      <w:r>
        <w:rPr>
          <w:rFonts w:ascii="仿宋_GB2312" w:eastAsia="仿宋_GB2312" w:hint="eastAsia"/>
          <w:sz w:val="32"/>
          <w:szCs w:val="32"/>
        </w:rPr>
        <w:t>参赛人员可自行组织学生拉拉队到场加油助威；</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（四）比赛期间请保持会场秩序，将手机调至静音或关机状态。</w:t>
      </w:r>
    </w:p>
    <w:p w:rsidR="00000000" w:rsidRDefault="00D52B4B">
      <w:pPr>
        <w:spacing w:line="360" w:lineRule="auto"/>
        <w:rPr>
          <w:rFonts w:ascii="仿宋_GB2312" w:eastAsia="仿宋_GB2312" w:hint="eastAsia"/>
          <w:sz w:val="32"/>
          <w:szCs w:val="32"/>
        </w:rPr>
      </w:pP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附件：</w:t>
      </w:r>
    </w:p>
    <w:p w:rsidR="00000000" w:rsidRDefault="00D52B4B">
      <w:pPr>
        <w:spacing w:line="360" w:lineRule="auto"/>
        <w:rPr>
          <w:rFonts w:ascii="仿宋_GB2312" w:eastAsia="仿宋_GB2312" w:hint="eastAsia"/>
          <w:sz w:val="32"/>
          <w:szCs w:val="32"/>
        </w:rPr>
      </w:pPr>
      <w:r>
        <w:rPr>
          <w:rFonts w:ascii="仿宋_GB2312" w:eastAsia="仿宋_GB2312" w:hint="eastAsia"/>
          <w:sz w:val="32"/>
          <w:szCs w:val="32"/>
        </w:rPr>
        <w:t>《昆明理工大学第四届辅导员职业能力竞赛决赛选手名单》</w:t>
      </w:r>
    </w:p>
    <w:p w:rsidR="00000000" w:rsidRDefault="00D52B4B">
      <w:pPr>
        <w:spacing w:line="360" w:lineRule="auto"/>
        <w:rPr>
          <w:rFonts w:ascii="仿宋_GB2312" w:eastAsia="仿宋_GB2312" w:hint="eastAsia"/>
          <w:sz w:val="32"/>
          <w:szCs w:val="32"/>
        </w:rPr>
      </w:pPr>
    </w:p>
    <w:p w:rsidR="00000000" w:rsidRDefault="00D52B4B">
      <w:pPr>
        <w:spacing w:line="360" w:lineRule="auto"/>
        <w:rPr>
          <w:rFonts w:ascii="仿宋_GB2312" w:eastAsia="仿宋_GB2312" w:hint="eastAsia"/>
          <w:sz w:val="32"/>
          <w:szCs w:val="32"/>
        </w:rPr>
      </w:pPr>
    </w:p>
    <w:p w:rsidR="00000000" w:rsidRDefault="00D52B4B">
      <w:pPr>
        <w:spacing w:line="360" w:lineRule="auto"/>
        <w:rPr>
          <w:rFonts w:ascii="仿宋_GB2312" w:eastAsia="仿宋_GB2312" w:hint="eastAsia"/>
          <w:sz w:val="32"/>
          <w:szCs w:val="32"/>
        </w:rPr>
      </w:pPr>
    </w:p>
    <w:p w:rsidR="00000000" w:rsidRDefault="00D52B4B">
      <w:pPr>
        <w:spacing w:line="360" w:lineRule="auto"/>
        <w:jc w:val="right"/>
        <w:rPr>
          <w:rFonts w:ascii="仿宋_GB2312" w:eastAsia="仿宋_GB2312" w:hint="eastAsia"/>
          <w:sz w:val="32"/>
          <w:szCs w:val="32"/>
        </w:rPr>
      </w:pPr>
      <w:r>
        <w:rPr>
          <w:rFonts w:ascii="仿宋_GB2312" w:eastAsia="仿宋_GB2312" w:hint="eastAsia"/>
          <w:sz w:val="32"/>
          <w:szCs w:val="32"/>
        </w:rPr>
        <w:t>学生工作部</w:t>
      </w:r>
      <w:r>
        <w:rPr>
          <w:rFonts w:ascii="仿宋_GB2312" w:eastAsia="仿宋_GB2312" w:hint="eastAsia"/>
          <w:sz w:val="32"/>
          <w:szCs w:val="32"/>
        </w:rPr>
        <w:t>(</w:t>
      </w:r>
      <w:r>
        <w:rPr>
          <w:rFonts w:ascii="仿宋_GB2312" w:eastAsia="仿宋_GB2312" w:hint="eastAsia"/>
          <w:sz w:val="32"/>
          <w:szCs w:val="32"/>
        </w:rPr>
        <w:t>处）</w:t>
      </w:r>
    </w:p>
    <w:p w:rsidR="00000000" w:rsidRDefault="00D52B4B">
      <w:pPr>
        <w:spacing w:line="360" w:lineRule="auto"/>
        <w:jc w:val="right"/>
        <w:rPr>
          <w:rFonts w:ascii="仿宋_GB2312" w:eastAsia="仿宋_GB2312" w:hint="eastAsia"/>
          <w:sz w:val="32"/>
          <w:szCs w:val="32"/>
        </w:rPr>
      </w:pP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29</w:t>
      </w:r>
      <w:r>
        <w:rPr>
          <w:rFonts w:ascii="仿宋_GB2312" w:eastAsia="仿宋_GB2312" w:hint="eastAsia"/>
          <w:sz w:val="32"/>
          <w:szCs w:val="32"/>
        </w:rPr>
        <w:t>日</w:t>
      </w:r>
    </w:p>
    <w:p w:rsidR="00000000" w:rsidRDefault="00D52B4B">
      <w:pPr>
        <w:spacing w:line="360" w:lineRule="auto"/>
        <w:jc w:val="right"/>
        <w:rPr>
          <w:rFonts w:ascii="仿宋_GB2312" w:eastAsia="仿宋_GB2312" w:hint="eastAsia"/>
          <w:sz w:val="32"/>
          <w:szCs w:val="32"/>
        </w:rPr>
      </w:pPr>
    </w:p>
    <w:p w:rsidR="00000000" w:rsidRDefault="00D52B4B">
      <w:pPr>
        <w:spacing w:line="360" w:lineRule="auto"/>
        <w:jc w:val="right"/>
        <w:rPr>
          <w:rFonts w:ascii="仿宋_GB2312" w:eastAsia="仿宋_GB2312" w:hint="eastAsia"/>
          <w:sz w:val="32"/>
          <w:szCs w:val="32"/>
        </w:rPr>
      </w:pPr>
    </w:p>
    <w:p w:rsidR="00000000" w:rsidRDefault="00D52B4B">
      <w:pPr>
        <w:spacing w:line="360" w:lineRule="auto"/>
        <w:jc w:val="right"/>
        <w:rPr>
          <w:rFonts w:ascii="仿宋_GB2312" w:eastAsia="仿宋_GB2312" w:hint="eastAsia"/>
          <w:sz w:val="32"/>
          <w:szCs w:val="32"/>
        </w:rPr>
      </w:pPr>
    </w:p>
    <w:p w:rsidR="00000000" w:rsidRDefault="00D52B4B">
      <w:pPr>
        <w:spacing w:line="360" w:lineRule="auto"/>
        <w:rPr>
          <w:rFonts w:ascii="仿宋_GB2312" w:eastAsia="仿宋_GB2312" w:hint="eastAsia"/>
          <w:sz w:val="32"/>
          <w:szCs w:val="32"/>
        </w:rPr>
      </w:pPr>
    </w:p>
    <w:p w:rsidR="00000000" w:rsidRDefault="00D52B4B">
      <w:pPr>
        <w:spacing w:line="360" w:lineRule="auto"/>
        <w:ind w:leftChars="-400" w:left="-840" w:firstLineChars="131" w:firstLine="421"/>
        <w:jc w:val="left"/>
        <w:rPr>
          <w:rFonts w:ascii="黑体" w:eastAsia="黑体" w:hAnsi="黑体" w:cs="黑体" w:hint="eastAsia"/>
          <w:b/>
          <w:bCs/>
          <w:sz w:val="32"/>
          <w:szCs w:val="32"/>
        </w:rPr>
      </w:pPr>
      <w:r>
        <w:rPr>
          <w:rFonts w:ascii="黑体" w:eastAsia="黑体" w:hAnsi="黑体" w:cs="黑体" w:hint="eastAsia"/>
          <w:b/>
          <w:bCs/>
          <w:sz w:val="32"/>
          <w:szCs w:val="32"/>
        </w:rPr>
        <w:t>附件：</w:t>
      </w:r>
    </w:p>
    <w:p w:rsidR="00000000" w:rsidRDefault="00D52B4B">
      <w:pPr>
        <w:spacing w:line="360" w:lineRule="auto"/>
        <w:rPr>
          <w:rFonts w:ascii="黑体" w:eastAsia="黑体" w:hAnsi="黑体" w:cs="黑体" w:hint="eastAsia"/>
          <w:b/>
          <w:bCs/>
          <w:sz w:val="32"/>
          <w:szCs w:val="32"/>
        </w:rPr>
      </w:pPr>
      <w:r>
        <w:rPr>
          <w:rFonts w:ascii="黑体" w:eastAsia="黑体" w:hAnsi="黑体" w:cs="黑体" w:hint="eastAsia"/>
          <w:b/>
          <w:bCs/>
          <w:sz w:val="32"/>
          <w:szCs w:val="32"/>
        </w:rPr>
        <w:t xml:space="preserve">  </w:t>
      </w:r>
      <w:r>
        <w:rPr>
          <w:rFonts w:ascii="黑体" w:eastAsia="黑体" w:hAnsi="黑体" w:cs="黑体" w:hint="eastAsia"/>
          <w:b/>
          <w:bCs/>
          <w:sz w:val="32"/>
          <w:szCs w:val="32"/>
        </w:rPr>
        <w:t>昆明理工大学第四届辅导员职业能力竞赛决赛选手名单</w:t>
      </w:r>
    </w:p>
    <w:p w:rsidR="00000000" w:rsidRDefault="00D52B4B">
      <w:pPr>
        <w:spacing w:line="360" w:lineRule="auto"/>
        <w:rPr>
          <w:rFonts w:ascii="黑体" w:eastAsia="黑体" w:hAnsi="黑体" w:cs="黑体" w:hint="eastAsia"/>
          <w:b/>
          <w:bCs/>
          <w:sz w:val="32"/>
          <w:szCs w:val="32"/>
        </w:rPr>
      </w:pPr>
    </w:p>
    <w:tbl>
      <w:tblPr>
        <w:tblStyle w:val="a6"/>
        <w:tblW w:w="0" w:type="auto"/>
        <w:tblInd w:w="-854" w:type="dxa"/>
        <w:tblLayout w:type="fixed"/>
        <w:tblLook w:val="0000" w:firstRow="0" w:lastRow="0" w:firstColumn="0" w:lastColumn="0" w:noHBand="0" w:noVBand="0"/>
      </w:tblPr>
      <w:tblGrid>
        <w:gridCol w:w="825"/>
        <w:gridCol w:w="4620"/>
        <w:gridCol w:w="4260"/>
      </w:tblGrid>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b/>
                <w:bCs/>
                <w:sz w:val="28"/>
                <w:szCs w:val="28"/>
              </w:rPr>
            </w:pPr>
            <w:r>
              <w:rPr>
                <w:rFonts w:ascii="仿宋_GB2312" w:eastAsia="仿宋_GB2312" w:hAnsi="仿宋_GB2312" w:cs="仿宋_GB2312" w:hint="eastAsia"/>
                <w:b/>
                <w:bCs/>
                <w:sz w:val="28"/>
                <w:szCs w:val="28"/>
              </w:rPr>
              <w:t>序号</w:t>
            </w:r>
          </w:p>
        </w:tc>
        <w:tc>
          <w:tcPr>
            <w:tcW w:w="4620" w:type="dxa"/>
            <w:vAlign w:val="center"/>
          </w:tcPr>
          <w:p w:rsidR="00000000" w:rsidRDefault="00D52B4B">
            <w:pPr>
              <w:jc w:val="center"/>
              <w:rPr>
                <w:rFonts w:ascii="仿宋_GB2312" w:eastAsia="仿宋_GB2312" w:hAnsi="仿宋_GB2312" w:cs="仿宋_GB2312" w:hint="eastAsia"/>
                <w:b/>
                <w:bCs/>
                <w:sz w:val="28"/>
                <w:szCs w:val="28"/>
              </w:rPr>
            </w:pPr>
            <w:r>
              <w:rPr>
                <w:rFonts w:ascii="仿宋_GB2312" w:eastAsia="仿宋_GB2312" w:hAnsi="仿宋_GB2312" w:cs="仿宋_GB2312" w:hint="eastAsia"/>
                <w:b/>
                <w:bCs/>
                <w:sz w:val="28"/>
                <w:szCs w:val="28"/>
              </w:rPr>
              <w:t>学</w:t>
            </w:r>
            <w:r>
              <w:rPr>
                <w:rFonts w:ascii="仿宋_GB2312" w:eastAsia="仿宋_GB2312" w:hAnsi="仿宋_GB2312" w:cs="仿宋_GB2312" w:hint="eastAsia"/>
                <w:b/>
                <w:bCs/>
                <w:sz w:val="28"/>
                <w:szCs w:val="28"/>
              </w:rPr>
              <w:t xml:space="preserve">  </w:t>
            </w:r>
            <w:r>
              <w:rPr>
                <w:rFonts w:ascii="仿宋_GB2312" w:eastAsia="仿宋_GB2312" w:hAnsi="仿宋_GB2312" w:cs="仿宋_GB2312" w:hint="eastAsia"/>
                <w:b/>
                <w:bCs/>
                <w:sz w:val="28"/>
                <w:szCs w:val="28"/>
              </w:rPr>
              <w:t>院</w:t>
            </w:r>
          </w:p>
        </w:tc>
        <w:tc>
          <w:tcPr>
            <w:tcW w:w="4260" w:type="dxa"/>
            <w:vAlign w:val="center"/>
          </w:tcPr>
          <w:p w:rsidR="00000000" w:rsidRDefault="00D52B4B">
            <w:pPr>
              <w:jc w:val="center"/>
              <w:rPr>
                <w:rFonts w:ascii="仿宋_GB2312" w:eastAsia="仿宋_GB2312" w:hAnsi="仿宋_GB2312" w:cs="仿宋_GB2312" w:hint="eastAsia"/>
                <w:b/>
                <w:bCs/>
                <w:sz w:val="28"/>
                <w:szCs w:val="28"/>
              </w:rPr>
            </w:pPr>
            <w:r>
              <w:rPr>
                <w:rFonts w:ascii="仿宋_GB2312" w:eastAsia="仿宋_GB2312" w:hAnsi="仿宋_GB2312" w:cs="仿宋_GB2312" w:hint="eastAsia"/>
                <w:b/>
                <w:bCs/>
                <w:sz w:val="28"/>
                <w:szCs w:val="28"/>
              </w:rPr>
              <w:t>姓</w:t>
            </w:r>
            <w:r>
              <w:rPr>
                <w:rFonts w:ascii="仿宋_GB2312" w:eastAsia="仿宋_GB2312" w:hAnsi="仿宋_GB2312" w:cs="仿宋_GB2312" w:hint="eastAsia"/>
                <w:b/>
                <w:bCs/>
                <w:sz w:val="28"/>
                <w:szCs w:val="28"/>
              </w:rPr>
              <w:t xml:space="preserve">  </w:t>
            </w:r>
            <w:r>
              <w:rPr>
                <w:rFonts w:ascii="仿宋_GB2312" w:eastAsia="仿宋_GB2312" w:hAnsi="仿宋_GB2312" w:cs="仿宋_GB2312" w:hint="eastAsia"/>
                <w:b/>
                <w:bCs/>
                <w:sz w:val="28"/>
                <w:szCs w:val="28"/>
              </w:rPr>
              <w:t>名</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城市学院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倪</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婷</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2</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城市学院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魏</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彬</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3</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城市学院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夏</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新</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4</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管理与经济学院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魏</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蕾</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5</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管理与经济学院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刘海丹</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6</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国土资源工程学院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薛丽华</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7</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艺术与传媒学院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郝儒梁</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8</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建筑与城市规划学院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杨</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硕</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9</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电力工程学院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余红珍</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10</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化学工程学院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张祎颖</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11</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云南省食品安全研究院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张</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瑶</w:t>
            </w:r>
          </w:p>
        </w:tc>
      </w:tr>
      <w:tr w:rsidR="00000000">
        <w:trPr>
          <w:trHeight w:hRule="exact" w:val="533"/>
        </w:trPr>
        <w:tc>
          <w:tcPr>
            <w:tcW w:w="825"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12</w:t>
            </w:r>
          </w:p>
        </w:tc>
        <w:tc>
          <w:tcPr>
            <w:tcW w:w="462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材料科学与工程学院</w:t>
            </w:r>
          </w:p>
        </w:tc>
        <w:tc>
          <w:tcPr>
            <w:tcW w:w="4260" w:type="dxa"/>
            <w:vAlign w:val="center"/>
          </w:tcPr>
          <w:p w:rsidR="00000000" w:rsidRDefault="00D52B4B">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黄国雄</w:t>
            </w:r>
          </w:p>
        </w:tc>
      </w:tr>
    </w:tbl>
    <w:p w:rsidR="00000000" w:rsidRDefault="00D52B4B">
      <w:pPr>
        <w:spacing w:line="360" w:lineRule="auto"/>
        <w:rPr>
          <w:rFonts w:ascii="仿宋_GB2312" w:eastAsia="仿宋_GB2312" w:hint="eastAsia"/>
          <w:sz w:val="32"/>
          <w:szCs w:val="32"/>
        </w:rPr>
      </w:pPr>
    </w:p>
    <w:p w:rsidR="00000000" w:rsidRDefault="00D52B4B">
      <w:pPr>
        <w:spacing w:line="360" w:lineRule="auto"/>
        <w:rPr>
          <w:rFonts w:ascii="仿宋_GB2312" w:eastAsia="仿宋_GB2312" w:hint="eastAsia"/>
          <w:sz w:val="32"/>
          <w:szCs w:val="32"/>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2B4B" w:rsidRDefault="00D52B4B" w:rsidP="00D52B4B">
      <w:r>
        <w:separator/>
      </w:r>
    </w:p>
  </w:endnote>
  <w:endnote w:type="continuationSeparator" w:id="0">
    <w:p w:rsidR="00D52B4B" w:rsidRDefault="00D52B4B" w:rsidP="00D5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2B4B" w:rsidRDefault="00D52B4B" w:rsidP="00D52B4B">
      <w:r>
        <w:separator/>
      </w:r>
    </w:p>
  </w:footnote>
  <w:footnote w:type="continuationSeparator" w:id="0">
    <w:p w:rsidR="00D52B4B" w:rsidRDefault="00D52B4B" w:rsidP="00D52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7EDA4"/>
    <w:multiLevelType w:val="singleLevel"/>
    <w:tmpl w:val="5517EDA4"/>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52B4B"/>
    <w:rsid w:val="01B44B95"/>
    <w:rsid w:val="04E8539D"/>
    <w:rsid w:val="07E74A05"/>
    <w:rsid w:val="13725976"/>
    <w:rsid w:val="18B9039C"/>
    <w:rsid w:val="1B3F26C4"/>
    <w:rsid w:val="25320650"/>
    <w:rsid w:val="27F345D0"/>
    <w:rsid w:val="38B800D8"/>
    <w:rsid w:val="402E72DA"/>
    <w:rsid w:val="4CE13531"/>
    <w:rsid w:val="52056356"/>
    <w:rsid w:val="6091637B"/>
    <w:rsid w:val="75E6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E7BDF49-BE92-4D45-9A45-FE7A6EE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Words>
  <Characters>724</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关于组织我校辅导员观摩学习</dc:title>
  <dc:subject/>
  <dc:creator>尚 若冰</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