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771" w:rsidRDefault="007E7771" w:rsidP="007E7771">
      <w:pPr>
        <w:jc w:val="center"/>
        <w:rPr>
          <w:rFonts w:hint="eastAsia"/>
        </w:rPr>
      </w:pPr>
    </w:p>
    <w:p w:rsidR="007E7771" w:rsidRDefault="007E7771" w:rsidP="007E7771">
      <w:pPr>
        <w:jc w:val="center"/>
        <w:rPr>
          <w:rFonts w:hint="eastAsia"/>
        </w:rPr>
      </w:pPr>
    </w:p>
    <w:p w:rsidR="007E7771" w:rsidRDefault="007E7771" w:rsidP="007E7771">
      <w:pPr>
        <w:jc w:val="center"/>
        <w:rPr>
          <w:rFonts w:hint="eastAsia"/>
        </w:rPr>
      </w:pPr>
    </w:p>
    <w:p w:rsidR="007E7771" w:rsidRDefault="007E7771" w:rsidP="007E7771">
      <w:pPr>
        <w:jc w:val="center"/>
      </w:pPr>
    </w:p>
    <w:tbl>
      <w:tblPr>
        <w:tblW w:w="9180" w:type="dxa"/>
        <w:tblInd w:w="108" w:type="dxa"/>
        <w:tblLook w:val="0000" w:firstRow="0" w:lastRow="0" w:firstColumn="0" w:lastColumn="0" w:noHBand="0" w:noVBand="0"/>
      </w:tblPr>
      <w:tblGrid>
        <w:gridCol w:w="9180"/>
      </w:tblGrid>
      <w:tr w:rsidR="007E7771">
        <w:trPr>
          <w:cantSplit/>
          <w:trHeight w:val="567"/>
        </w:trPr>
        <w:tc>
          <w:tcPr>
            <w:tcW w:w="9180" w:type="dxa"/>
            <w:vAlign w:val="center"/>
          </w:tcPr>
          <w:p w:rsidR="007E7771" w:rsidRDefault="007E7771">
            <w:pPr>
              <w:adjustRightInd w:val="0"/>
              <w:snapToGrid w:val="0"/>
              <w:rPr>
                <w:rFonts w:ascii="宋体"/>
                <w:b/>
                <w:sz w:val="24"/>
              </w:rPr>
            </w:pPr>
            <w:r>
              <w:rPr>
                <w:rFonts w:ascii="宋体" w:hint="eastAsia"/>
                <w:b/>
                <w:sz w:val="24"/>
              </w:rPr>
              <w:t xml:space="preserve"> </w:t>
            </w:r>
          </w:p>
        </w:tc>
      </w:tr>
      <w:tr w:rsidR="007E7771">
        <w:trPr>
          <w:cantSplit/>
          <w:trHeight w:val="567"/>
        </w:trPr>
        <w:tc>
          <w:tcPr>
            <w:tcW w:w="9180" w:type="dxa"/>
            <w:vAlign w:val="center"/>
          </w:tcPr>
          <w:p w:rsidR="007E7771" w:rsidRDefault="007E7771">
            <w:pPr>
              <w:adjustRightInd w:val="0"/>
              <w:snapToGrid w:val="0"/>
              <w:rPr>
                <w:rFonts w:ascii="宋体"/>
                <w:b/>
                <w:sz w:val="24"/>
              </w:rPr>
            </w:pPr>
          </w:p>
        </w:tc>
      </w:tr>
      <w:tr w:rsidR="007E7771">
        <w:trPr>
          <w:cantSplit/>
          <w:trHeight w:val="567"/>
        </w:trPr>
        <w:tc>
          <w:tcPr>
            <w:tcW w:w="9180" w:type="dxa"/>
            <w:vAlign w:val="center"/>
          </w:tcPr>
          <w:p w:rsidR="007E7771" w:rsidRDefault="007E7771">
            <w:pPr>
              <w:adjustRightInd w:val="0"/>
              <w:snapToGrid w:val="0"/>
              <w:jc w:val="center"/>
              <w:rPr>
                <w:rFonts w:ascii="宋体"/>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8pt" o:ole="" o:allowoverlap="f">
                  <v:imagedata r:id="rId7" o:title=""/>
                </v:shape>
                <o:OLEObject Type="Embed" ProgID="Paint.Picture" ShapeID="_x0000_i1025" DrawAspect="Content" ObjectID="_1707986744" r:id="rId8"/>
              </w:object>
            </w:r>
          </w:p>
        </w:tc>
      </w:tr>
      <w:tr w:rsidR="007E7771">
        <w:trPr>
          <w:cantSplit/>
          <w:trHeight w:val="567"/>
        </w:trPr>
        <w:tc>
          <w:tcPr>
            <w:tcW w:w="9180" w:type="dxa"/>
            <w:vAlign w:val="center"/>
          </w:tcPr>
          <w:p w:rsidR="007E7771" w:rsidRDefault="007E7771">
            <w:pPr>
              <w:adjustRightInd w:val="0"/>
              <w:snapToGrid w:val="0"/>
              <w:rPr>
                <w:rFonts w:ascii="宋体"/>
                <w:sz w:val="28"/>
              </w:rPr>
            </w:pPr>
          </w:p>
        </w:tc>
      </w:tr>
      <w:tr w:rsidR="007E7771">
        <w:trPr>
          <w:cantSplit/>
          <w:trHeight w:val="567"/>
        </w:trPr>
        <w:tc>
          <w:tcPr>
            <w:tcW w:w="9180" w:type="dxa"/>
            <w:vAlign w:val="center"/>
          </w:tcPr>
          <w:p w:rsidR="007E7771" w:rsidRDefault="007E7771">
            <w:pPr>
              <w:adjustRightInd w:val="0"/>
              <w:snapToGrid w:val="0"/>
              <w:ind w:leftChars="-651" w:left="-1367" w:firstLineChars="427" w:firstLine="1366"/>
              <w:jc w:val="center"/>
              <w:rPr>
                <w:rFonts w:ascii="仿宋_GB2312" w:eastAsia="仿宋_GB2312"/>
                <w:b/>
                <w:sz w:val="32"/>
              </w:rPr>
            </w:pPr>
            <w:r>
              <w:rPr>
                <w:rFonts w:ascii="仿宋_GB2312" w:eastAsia="仿宋_GB2312" w:hint="eastAsia"/>
                <w:sz w:val="32"/>
              </w:rPr>
              <w:t>昆理工大校教字〔2010〕18号</w:t>
            </w:r>
          </w:p>
        </w:tc>
      </w:tr>
      <w:tr w:rsidR="007E7771">
        <w:trPr>
          <w:cantSplit/>
          <w:trHeight w:val="567"/>
        </w:trPr>
        <w:tc>
          <w:tcPr>
            <w:tcW w:w="9180" w:type="dxa"/>
            <w:vAlign w:val="center"/>
          </w:tcPr>
          <w:p w:rsidR="007E7771" w:rsidRDefault="007E7771">
            <w:pPr>
              <w:adjustRightInd w:val="0"/>
              <w:snapToGrid w:val="0"/>
              <w:jc w:val="center"/>
              <w:rPr>
                <w:rFonts w:ascii="宋体"/>
                <w:b/>
                <w:szCs w:val="21"/>
              </w:rPr>
            </w:pPr>
            <w:r>
              <w:rPr>
                <w:szCs w:val="21"/>
              </w:rPr>
              <w:object w:dxaOrig="8309" w:dyaOrig="225">
                <v:shape id="_x0000_i1026" type="#_x0000_t75" style="width:415.5pt;height:11.5pt" o:ole="" o:allowoverlap="f">
                  <v:imagedata r:id="rId9" o:title=""/>
                </v:shape>
                <o:OLEObject Type="Embed" ProgID="Paint.Picture" ShapeID="_x0000_i1026" DrawAspect="Content" ObjectID="_1707986745" r:id="rId10"/>
              </w:object>
            </w:r>
          </w:p>
        </w:tc>
      </w:tr>
    </w:tbl>
    <w:p w:rsidR="007E7771" w:rsidRDefault="007E7771" w:rsidP="007E7771">
      <w:pPr>
        <w:spacing w:line="360" w:lineRule="auto"/>
        <w:jc w:val="center"/>
        <w:rPr>
          <w:rFonts w:ascii="长城小标宋体" w:eastAsia="长城小标宋体"/>
          <w:b/>
          <w:sz w:val="36"/>
          <w:szCs w:val="36"/>
        </w:rPr>
      </w:pPr>
    </w:p>
    <w:p w:rsidR="007E7771" w:rsidRPr="00DF76E3" w:rsidRDefault="007E7771" w:rsidP="007E7771">
      <w:pPr>
        <w:spacing w:line="660" w:lineRule="exact"/>
        <w:jc w:val="center"/>
        <w:rPr>
          <w:rFonts w:ascii="方正小标宋_GBK" w:eastAsia="方正小标宋_GBK" w:hint="eastAsia"/>
          <w:sz w:val="44"/>
          <w:szCs w:val="44"/>
        </w:rPr>
      </w:pPr>
      <w:r w:rsidRPr="00DF76E3">
        <w:rPr>
          <w:rFonts w:ascii="方正小标宋_GBK" w:eastAsia="方正小标宋_GBK" w:hint="eastAsia"/>
          <w:sz w:val="44"/>
          <w:szCs w:val="44"/>
        </w:rPr>
        <w:t>昆明理工大学关于印发学分制管理文件的通知</w:t>
      </w: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r w:rsidRPr="00115FC8">
        <w:rPr>
          <w:rFonts w:ascii="仿宋_GB2312" w:eastAsia="仿宋_GB2312" w:hint="eastAsia"/>
          <w:sz w:val="32"/>
          <w:szCs w:val="32"/>
        </w:rPr>
        <w:t>各院、部、处、室、馆、中心及直属部门：</w:t>
      </w:r>
    </w:p>
    <w:p w:rsidR="007E7771" w:rsidRDefault="007E7771" w:rsidP="007E7771">
      <w:pPr>
        <w:ind w:firstLine="645"/>
        <w:rPr>
          <w:rFonts w:ascii="仿宋_GB2312" w:eastAsia="仿宋_GB2312" w:hint="eastAsia"/>
          <w:sz w:val="32"/>
          <w:szCs w:val="32"/>
        </w:rPr>
      </w:pPr>
      <w:r w:rsidRPr="00942F74">
        <w:rPr>
          <w:rFonts w:ascii="仿宋_GB2312" w:eastAsia="仿宋_GB2312" w:hint="eastAsia"/>
          <w:sz w:val="32"/>
          <w:szCs w:val="32"/>
        </w:rPr>
        <w:t>《昆明理工大学学分制管理总则》、《昆明理工大学学分制收费管理试行办法》、《昆明理工大学学分制选课管理试行办法》、《昆明理工大学学分制学业指导小组工作条例(试行)》</w:t>
      </w:r>
      <w:r>
        <w:rPr>
          <w:rFonts w:ascii="仿宋_GB2312" w:eastAsia="仿宋_GB2312" w:hint="eastAsia"/>
          <w:sz w:val="32"/>
          <w:szCs w:val="32"/>
        </w:rPr>
        <w:t>已经2010年第八次校长办公会研究通过，现印发给你们，请认真遵照执行。</w:t>
      </w:r>
    </w:p>
    <w:p w:rsidR="007E7771" w:rsidRDefault="007E7771" w:rsidP="007E7771">
      <w:pPr>
        <w:spacing w:line="600" w:lineRule="exact"/>
        <w:ind w:firstLineChars="200" w:firstLine="640"/>
        <w:rPr>
          <w:rFonts w:ascii="仿宋_GB2312" w:eastAsia="仿宋_GB2312" w:hint="eastAsia"/>
          <w:sz w:val="32"/>
          <w:szCs w:val="32"/>
        </w:rPr>
      </w:pPr>
    </w:p>
    <w:tbl>
      <w:tblPr>
        <w:tblW w:w="9246" w:type="dxa"/>
        <w:tblInd w:w="-72" w:type="dxa"/>
        <w:tblLook w:val="0000" w:firstRow="0" w:lastRow="0" w:firstColumn="0" w:lastColumn="0" w:noHBand="0" w:noVBand="0"/>
      </w:tblPr>
      <w:tblGrid>
        <w:gridCol w:w="3716"/>
        <w:gridCol w:w="5530"/>
      </w:tblGrid>
      <w:tr w:rsidR="007E7771">
        <w:tc>
          <w:tcPr>
            <w:tcW w:w="3716" w:type="dxa"/>
          </w:tcPr>
          <w:p w:rsidR="007E7771" w:rsidRDefault="007E7771" w:rsidP="007E7771">
            <w:pPr>
              <w:spacing w:line="600" w:lineRule="exact"/>
              <w:jc w:val="center"/>
              <w:rPr>
                <w:rFonts w:ascii="仿宋_GB2312" w:eastAsia="仿宋_GB2312"/>
                <w:sz w:val="32"/>
                <w:szCs w:val="32"/>
              </w:rPr>
            </w:pPr>
            <w:r w:rsidRPr="00EB6710">
              <w:rPr>
                <w:rFonts w:ascii="仿宋_GB2312" w:eastAsia="仿宋_GB2312"/>
                <w:sz w:val="32"/>
                <w:szCs w:val="32"/>
              </w:rPr>
              <w:t xml:space="preserve">                 </w:t>
            </w:r>
            <w:r>
              <w:rPr>
                <w:sz w:val="28"/>
                <w:szCs w:val="28"/>
              </w:rPr>
              <w:t xml:space="preserve">              </w:t>
            </w:r>
          </w:p>
        </w:tc>
        <w:tc>
          <w:tcPr>
            <w:tcW w:w="5530" w:type="dxa"/>
          </w:tcPr>
          <w:p w:rsidR="007E7771" w:rsidRDefault="007E7771" w:rsidP="007E7771">
            <w:pPr>
              <w:spacing w:line="600" w:lineRule="exact"/>
              <w:ind w:firstLineChars="450" w:firstLine="1440"/>
              <w:rPr>
                <w:rFonts w:ascii="仿宋_GB2312" w:eastAsia="仿宋_GB2312"/>
                <w:sz w:val="32"/>
                <w:szCs w:val="32"/>
              </w:rPr>
            </w:pPr>
          </w:p>
        </w:tc>
      </w:tr>
      <w:tr w:rsidR="007E7771">
        <w:tc>
          <w:tcPr>
            <w:tcW w:w="3716" w:type="dxa"/>
          </w:tcPr>
          <w:p w:rsidR="007E7771" w:rsidRDefault="007E7771" w:rsidP="007E7771">
            <w:pPr>
              <w:spacing w:line="600" w:lineRule="exact"/>
              <w:jc w:val="center"/>
              <w:rPr>
                <w:rFonts w:ascii="仿宋_GB2312" w:eastAsia="仿宋_GB2312"/>
                <w:sz w:val="32"/>
                <w:szCs w:val="32"/>
              </w:rPr>
            </w:pPr>
          </w:p>
        </w:tc>
        <w:tc>
          <w:tcPr>
            <w:tcW w:w="5530" w:type="dxa"/>
          </w:tcPr>
          <w:p w:rsidR="007E7771" w:rsidRDefault="007E7771" w:rsidP="007E7771">
            <w:pPr>
              <w:spacing w:line="600" w:lineRule="exact"/>
              <w:ind w:firstLineChars="250" w:firstLine="800"/>
              <w:rPr>
                <w:rFonts w:ascii="仿宋_GB2312" w:eastAsia="仿宋_GB2312"/>
                <w:sz w:val="32"/>
                <w:szCs w:val="32"/>
              </w:rPr>
            </w:pPr>
            <w:r>
              <w:rPr>
                <w:rFonts w:ascii="仿宋_GB2312" w:eastAsia="仿宋_GB2312" w:hint="eastAsia"/>
                <w:sz w:val="32"/>
                <w:szCs w:val="32"/>
              </w:rPr>
              <w:t>二○一○年</w:t>
            </w:r>
            <w:smartTag w:uri="urn:schemas-microsoft-com:office:smarttags" w:element="chsdate">
              <w:smartTagPr>
                <w:attr w:name="Year" w:val="2010"/>
                <w:attr w:name="Month" w:val="6"/>
                <w:attr w:name="Day" w:val="18"/>
                <w:attr w:name="IsLunarDate" w:val="False"/>
                <w:attr w:name="IsROCDate" w:val="False"/>
              </w:smartTagPr>
              <w:r>
                <w:rPr>
                  <w:rFonts w:ascii="仿宋_GB2312" w:eastAsia="仿宋_GB2312" w:hint="eastAsia"/>
                  <w:sz w:val="32"/>
                  <w:szCs w:val="32"/>
                </w:rPr>
                <w:t>六月十八日</w:t>
              </w:r>
            </w:smartTag>
          </w:p>
        </w:tc>
      </w:tr>
    </w:tbl>
    <w:p w:rsidR="007E7771" w:rsidRDefault="007E7771" w:rsidP="007E7771">
      <w:pPr>
        <w:jc w:val="center"/>
        <w:rPr>
          <w:rFonts w:ascii="方正小标宋_GBK" w:eastAsia="方正小标宋_GBK" w:hint="eastAsia"/>
          <w:sz w:val="44"/>
          <w:szCs w:val="44"/>
        </w:rPr>
      </w:pPr>
    </w:p>
    <w:p w:rsidR="007E7771" w:rsidRDefault="007E7771" w:rsidP="007E7771">
      <w:pPr>
        <w:jc w:val="center"/>
        <w:rPr>
          <w:rFonts w:ascii="方正小标宋_GBK" w:eastAsia="方正小标宋_GBK" w:hint="eastAsia"/>
          <w:sz w:val="44"/>
          <w:szCs w:val="44"/>
        </w:rPr>
      </w:pPr>
    </w:p>
    <w:p w:rsidR="007E7771" w:rsidRDefault="007E7771" w:rsidP="007E7771">
      <w:pPr>
        <w:jc w:val="center"/>
        <w:rPr>
          <w:rFonts w:ascii="方正小标宋_GBK" w:eastAsia="方正小标宋_GBK" w:hint="eastAsia"/>
          <w:sz w:val="44"/>
          <w:szCs w:val="44"/>
        </w:rPr>
      </w:pPr>
      <w:r w:rsidRPr="00DF76E3">
        <w:rPr>
          <w:rFonts w:ascii="方正小标宋_GBK" w:eastAsia="方正小标宋_GBK" w:hint="eastAsia"/>
          <w:sz w:val="44"/>
          <w:szCs w:val="44"/>
        </w:rPr>
        <w:lastRenderedPageBreak/>
        <w:t>昆明理工大学学分制管理总则</w:t>
      </w:r>
    </w:p>
    <w:p w:rsidR="007E7771" w:rsidRPr="007E7771" w:rsidRDefault="007E7771" w:rsidP="007E7771">
      <w:pPr>
        <w:pStyle w:val="a5"/>
        <w:spacing w:line="440" w:lineRule="exact"/>
        <w:ind w:firstLineChars="200" w:firstLine="640"/>
        <w:jc w:val="center"/>
        <w:rPr>
          <w:rFonts w:ascii="仿宋_GB2312" w:eastAsia="仿宋_GB2312" w:hint="eastAsia"/>
          <w:sz w:val="32"/>
          <w:szCs w:val="32"/>
        </w:rPr>
      </w:pPr>
      <w:r w:rsidRPr="007E7771">
        <w:rPr>
          <w:rFonts w:ascii="仿宋_GB2312" w:eastAsia="仿宋_GB2312" w:hint="eastAsia"/>
          <w:sz w:val="32"/>
          <w:szCs w:val="32"/>
        </w:rPr>
        <w:t>（试行）</w:t>
      </w:r>
    </w:p>
    <w:p w:rsidR="007E7771" w:rsidRDefault="007E7771" w:rsidP="007E7771">
      <w:pPr>
        <w:spacing w:line="240" w:lineRule="exact"/>
        <w:jc w:val="center"/>
        <w:rPr>
          <w:rFonts w:ascii="方正小标宋_GBK" w:eastAsia="方正小标宋_GBK" w:hint="eastAsia"/>
          <w:sz w:val="44"/>
          <w:szCs w:val="44"/>
        </w:rPr>
      </w:pPr>
    </w:p>
    <w:p w:rsidR="007E7771" w:rsidRPr="00DF76E3" w:rsidRDefault="007E7771" w:rsidP="007E7771">
      <w:pPr>
        <w:pStyle w:val="a5"/>
        <w:spacing w:line="440" w:lineRule="exact"/>
        <w:ind w:firstLineChars="200" w:firstLine="640"/>
        <w:rPr>
          <w:rFonts w:ascii="仿宋_GB2312" w:eastAsia="仿宋_GB2312" w:hint="eastAsia"/>
          <w:sz w:val="32"/>
          <w:szCs w:val="32"/>
        </w:rPr>
      </w:pPr>
      <w:r w:rsidRPr="00DF76E3">
        <w:rPr>
          <w:rFonts w:ascii="仿宋_GB2312" w:eastAsia="仿宋_GB2312" w:hint="eastAsia"/>
          <w:sz w:val="32"/>
          <w:szCs w:val="32"/>
        </w:rPr>
        <w:t>为加强学分制管理工作的领导，规范学分制管理，深化教学改革，提高人才培养质量，特制定本总则。</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第一章  组织领导</w:t>
      </w:r>
    </w:p>
    <w:p w:rsidR="007E7771" w:rsidRPr="00DF76E3" w:rsidRDefault="007E7771" w:rsidP="007E7771">
      <w:pPr>
        <w:pStyle w:val="a5"/>
        <w:spacing w:line="440" w:lineRule="exact"/>
        <w:ind w:firstLineChars="200" w:firstLine="640"/>
        <w:rPr>
          <w:rFonts w:ascii="仿宋_GB2312" w:eastAsia="仿宋_GB2312" w:hint="eastAsia"/>
          <w:sz w:val="32"/>
          <w:szCs w:val="32"/>
        </w:rPr>
      </w:pPr>
      <w:r w:rsidRPr="00DF76E3">
        <w:rPr>
          <w:rFonts w:ascii="仿宋_GB2312" w:eastAsia="仿宋_GB2312" w:hint="eastAsia"/>
          <w:sz w:val="32"/>
          <w:szCs w:val="32"/>
        </w:rPr>
        <w:t>第一条</w:t>
      </w:r>
      <w:r>
        <w:rPr>
          <w:rFonts w:ascii="仿宋_GB2312" w:eastAsia="仿宋_GB2312" w:hint="eastAsia"/>
          <w:sz w:val="32"/>
          <w:szCs w:val="32"/>
        </w:rPr>
        <w:t xml:space="preserve">  </w:t>
      </w:r>
      <w:r w:rsidRPr="00DF76E3">
        <w:rPr>
          <w:rFonts w:ascii="仿宋_GB2312" w:eastAsia="仿宋_GB2312" w:hint="eastAsia"/>
          <w:sz w:val="32"/>
          <w:szCs w:val="32"/>
        </w:rPr>
        <w:t>学校成立学分制改革工作小组。负责对学生选课、教师考核、学分收费、学业指导小组、弹性学制、学籍处理等重大问题的决策。</w:t>
      </w:r>
    </w:p>
    <w:p w:rsidR="007E7771" w:rsidRPr="00DF76E3" w:rsidRDefault="007E7771" w:rsidP="007E7771">
      <w:pPr>
        <w:pStyle w:val="a5"/>
        <w:spacing w:line="440" w:lineRule="exact"/>
        <w:ind w:firstLineChars="200" w:firstLine="640"/>
        <w:rPr>
          <w:rFonts w:ascii="仿宋_GB2312" w:eastAsia="仿宋_GB2312" w:hint="eastAsia"/>
          <w:sz w:val="32"/>
          <w:szCs w:val="32"/>
        </w:rPr>
      </w:pPr>
      <w:r w:rsidRPr="00DF76E3">
        <w:rPr>
          <w:rFonts w:ascii="仿宋_GB2312" w:eastAsia="仿宋_GB2312" w:hint="eastAsia"/>
          <w:sz w:val="32"/>
          <w:szCs w:val="32"/>
        </w:rPr>
        <w:t>第二条</w:t>
      </w:r>
      <w:r>
        <w:rPr>
          <w:rFonts w:ascii="仿宋_GB2312" w:eastAsia="仿宋_GB2312" w:hint="eastAsia"/>
          <w:sz w:val="32"/>
          <w:szCs w:val="32"/>
        </w:rPr>
        <w:t xml:space="preserve">  </w:t>
      </w:r>
      <w:r w:rsidRPr="00DF76E3">
        <w:rPr>
          <w:rFonts w:ascii="仿宋_GB2312" w:eastAsia="仿宋_GB2312" w:hint="eastAsia"/>
          <w:sz w:val="32"/>
          <w:szCs w:val="32"/>
        </w:rPr>
        <w:t>成立校、院两级学分制学业指导小组。加强与完善导师制，建立相应的规章制度，加强对学生学业的指导与学习进程的管理。</w:t>
      </w:r>
    </w:p>
    <w:p w:rsidR="007E7771" w:rsidRPr="00DF76E3" w:rsidRDefault="007E7771" w:rsidP="007E7771">
      <w:pPr>
        <w:pStyle w:val="a5"/>
        <w:spacing w:line="440" w:lineRule="exact"/>
        <w:ind w:firstLineChars="200" w:firstLine="640"/>
        <w:rPr>
          <w:rFonts w:ascii="仿宋_GB2312" w:eastAsia="仿宋_GB2312" w:hint="eastAsia"/>
          <w:sz w:val="32"/>
          <w:szCs w:val="32"/>
        </w:rPr>
      </w:pPr>
      <w:r w:rsidRPr="00DF76E3">
        <w:rPr>
          <w:rFonts w:ascii="仿宋_GB2312" w:eastAsia="仿宋_GB2312" w:hint="eastAsia"/>
          <w:sz w:val="32"/>
          <w:szCs w:val="32"/>
        </w:rPr>
        <w:t>第三条</w:t>
      </w:r>
      <w:r>
        <w:rPr>
          <w:rFonts w:ascii="仿宋_GB2312" w:eastAsia="仿宋_GB2312" w:hint="eastAsia"/>
          <w:sz w:val="32"/>
          <w:szCs w:val="32"/>
        </w:rPr>
        <w:t xml:space="preserve">  </w:t>
      </w:r>
      <w:r w:rsidRPr="00DF76E3">
        <w:rPr>
          <w:rFonts w:ascii="仿宋_GB2312" w:eastAsia="仿宋_GB2312" w:hint="eastAsia"/>
          <w:sz w:val="32"/>
          <w:szCs w:val="32"/>
        </w:rPr>
        <w:t>深入研究与开展学分制改革，做好选课的组织管理、学分认定、学生思想政治工作、学分学费的审核、学分制教学管理系统的建设与维护等工作。</w:t>
      </w:r>
    </w:p>
    <w:p w:rsidR="007E7771" w:rsidRPr="00DF76E3" w:rsidRDefault="007E7771" w:rsidP="007E7771">
      <w:pPr>
        <w:pStyle w:val="a5"/>
        <w:spacing w:line="440" w:lineRule="exact"/>
        <w:ind w:firstLineChars="200" w:firstLine="640"/>
        <w:rPr>
          <w:rFonts w:ascii="仿宋_GB2312" w:eastAsia="仿宋_GB2312" w:hint="eastAsia"/>
          <w:sz w:val="32"/>
          <w:szCs w:val="32"/>
        </w:rPr>
      </w:pPr>
      <w:r w:rsidRPr="00DF76E3">
        <w:rPr>
          <w:rFonts w:ascii="仿宋_GB2312" w:eastAsia="仿宋_GB2312" w:hint="eastAsia"/>
          <w:sz w:val="32"/>
          <w:szCs w:val="32"/>
        </w:rPr>
        <w:t>第四条</w:t>
      </w:r>
      <w:r>
        <w:rPr>
          <w:rFonts w:ascii="仿宋_GB2312" w:eastAsia="仿宋_GB2312" w:hint="eastAsia"/>
          <w:sz w:val="32"/>
          <w:szCs w:val="32"/>
        </w:rPr>
        <w:t xml:space="preserve">  </w:t>
      </w:r>
      <w:r w:rsidRPr="00DF76E3">
        <w:rPr>
          <w:rFonts w:ascii="仿宋_GB2312" w:eastAsia="仿宋_GB2312" w:hint="eastAsia"/>
          <w:sz w:val="32"/>
          <w:szCs w:val="32"/>
        </w:rPr>
        <w:t>各有关部门本着分工协作，开拓创新的精神，在实践中不断完善制度措施，努力推进学分制教学管理改革与建设。</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第二章  选课制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第五条  针对公共基础课、学科基础课与专业课；理论课与实践课；课内教育与课外教育等制定与实施相应的选课方案，全面推行学分制选课。</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第六条  实行选师、选课、选时制，采取多种形式，将本科培养方案所有课程纳入选课范围。</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第七条  制定学分制课程建设管理办法。加强课程建设，扩充课程资源，为学生选课创造良好条件。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第八条  加强学分制教学管理系统硬件与软件建设。建设课</w:t>
      </w:r>
      <w:r w:rsidRPr="00B66ECC">
        <w:rPr>
          <w:rFonts w:ascii="仿宋_GB2312" w:eastAsia="仿宋_GB2312" w:hint="eastAsia"/>
          <w:sz w:val="32"/>
          <w:szCs w:val="32"/>
        </w:rPr>
        <w:lastRenderedPageBreak/>
        <w:t>程资源、选课与学分、教学质量监控、学分收费等教学综合信息管理平台。</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第九条  制定选课管理办法。对选课的基本原则、选课程序过程等进行明确的规定，加强选课工作的科学性与可操作性。</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第三章  弹性学制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第十条  实行弹性学制。基本学制4年的修读年限为3</w:t>
      </w:r>
      <w:r>
        <w:rPr>
          <w:rFonts w:ascii="仿宋_GB2312" w:eastAsia="仿宋_GB2312" w:hAnsi="PMingLiU" w:hint="eastAsia"/>
          <w:sz w:val="32"/>
          <w:szCs w:val="32"/>
        </w:rPr>
        <w:t>—</w:t>
      </w:r>
      <w:r w:rsidRPr="00B66ECC">
        <w:rPr>
          <w:rFonts w:ascii="仿宋_GB2312" w:eastAsia="仿宋_GB2312" w:hint="eastAsia"/>
          <w:sz w:val="32"/>
          <w:szCs w:val="32"/>
        </w:rPr>
        <w:t>6年；基本学制为5年的修读年限为4</w:t>
      </w:r>
      <w:r>
        <w:rPr>
          <w:rFonts w:ascii="仿宋_GB2312" w:eastAsia="仿宋_GB2312" w:hAnsi="PMingLiU" w:hint="eastAsia"/>
          <w:sz w:val="32"/>
          <w:szCs w:val="32"/>
        </w:rPr>
        <w:t>—</w:t>
      </w:r>
      <w:r w:rsidRPr="00B66ECC">
        <w:rPr>
          <w:rFonts w:ascii="仿宋_GB2312" w:eastAsia="仿宋_GB2312" w:hint="eastAsia"/>
          <w:sz w:val="32"/>
          <w:szCs w:val="32"/>
        </w:rPr>
        <w:t>7年。学生可在修读年限内，在学业指导小组的指导下，通过选课，自主安排学习进程。</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第十一条  加强导师制工作，建立学生学业档案，警示学生学分状况等制度，指导学生在最长修读年限内顺利完成学业。</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第十二条  不论何种情况，学生必须在最长修读年限内完成专业培养方案规定课程的学习，取得毕业规定总学分。超过修读年限不能毕业的，一律作退学处理。</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第四章  转专业制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第十三条  实行优秀学生转专业制。根据学生第一学期期未考试总评成绩等对学生进行排名，排名名列学校确定比例内的学生可自愿申请转专业。</w:t>
      </w:r>
    </w:p>
    <w:p w:rsidR="007E7771"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第十四条  校际间转学，包括同专业或相近专业的转学，按有关规定办理。</w:t>
      </w:r>
    </w:p>
    <w:p w:rsidR="007E7771" w:rsidRPr="001B59B4" w:rsidRDefault="007E7771" w:rsidP="007E7771">
      <w:pPr>
        <w:pStyle w:val="a5"/>
        <w:spacing w:line="440" w:lineRule="exact"/>
        <w:ind w:leftChars="0" w:left="0"/>
        <w:jc w:val="center"/>
        <w:rPr>
          <w:rFonts w:ascii="方正黑体_GBK" w:eastAsia="方正黑体_GBK" w:hint="eastAsia"/>
          <w:sz w:val="32"/>
          <w:szCs w:val="32"/>
        </w:rPr>
      </w:pPr>
      <w:r w:rsidRPr="001B59B4">
        <w:rPr>
          <w:rFonts w:ascii="方正黑体_GBK" w:eastAsia="方正黑体_GBK" w:hint="eastAsia"/>
          <w:sz w:val="32"/>
          <w:szCs w:val="32"/>
        </w:rPr>
        <w:t>第五章  双专业、双学位制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第十五条  符合申报条件，提出申请并经批准的学生可攻读双专业或双学位。</w:t>
      </w:r>
    </w:p>
    <w:p w:rsidR="007E7771"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第十六条  根据《昆明理工大学双专业、双学位教育管理试行办法》规定，办理相关手续。</w:t>
      </w:r>
    </w:p>
    <w:p w:rsidR="007E7771" w:rsidRPr="001B59B4" w:rsidRDefault="007E7771" w:rsidP="007E7771">
      <w:pPr>
        <w:pStyle w:val="a5"/>
        <w:spacing w:line="440" w:lineRule="exact"/>
        <w:ind w:leftChars="0" w:left="0"/>
        <w:jc w:val="center"/>
        <w:rPr>
          <w:rFonts w:ascii="方正黑体_GBK" w:eastAsia="方正黑体_GBK" w:hint="eastAsia"/>
          <w:sz w:val="32"/>
          <w:szCs w:val="32"/>
        </w:rPr>
      </w:pPr>
      <w:r w:rsidRPr="001B59B4">
        <w:rPr>
          <w:rFonts w:ascii="方正黑体_GBK" w:eastAsia="方正黑体_GBK" w:hint="eastAsia"/>
          <w:sz w:val="32"/>
          <w:szCs w:val="32"/>
        </w:rPr>
        <w:t>第六章  学分收费制</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第十七条  制定学分制课程与学分管理办法，按照一类、二类、三类学分课程实施课程管理。制定学分制选课学分收费标准与实施办法，按照一类、二类、三类学分课程的学分单价收取学费。</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第十八条  学生正常完成（通过期末考试或补考，成绩合格）主专业本科培养方案规定、取得该专业毕业规定最低总学分的课程，称为一类学分课程。根据云南省发改委核准的专业学费总额与专业毕业最低总学分数确定一类学分单价。</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第十九条  修订本科专业培养方案，根据学年收费标准与学科类别，按理工、文学、管经法与艺术类分别确定毕业最低总学分与学分单价，理顺学分收费管理。</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第二十条  学生攻读双专业、双学位，修读双专业、双学位培养方案规定的课程；学生已完成所在主专业毕业规定的课程学习，自愿多学的其它课程称为二类学分课程。</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第二十一条  参加双专业学习者，最高按就读本科专业当年入学新生学费标准总额的二分之一交纳学费。参加双学位学习者，最高按就读本科专业当年入学新生学费标准总额的三分之二交纳学费。</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第二十二条  为鼓励学生攻读双专业、双学位，双专业学费按所攻读专业学费标准总额</w:t>
      </w:r>
      <w:r>
        <w:rPr>
          <w:rFonts w:ascii="仿宋_GB2312" w:eastAsia="仿宋_GB2312" w:hint="eastAsia"/>
          <w:sz w:val="32"/>
          <w:szCs w:val="32"/>
        </w:rPr>
        <w:t>1</w:t>
      </w:r>
      <w:r w:rsidRPr="00B66ECC">
        <w:rPr>
          <w:rFonts w:ascii="仿宋_GB2312" w:eastAsia="仿宋_GB2312" w:hint="eastAsia"/>
          <w:sz w:val="32"/>
          <w:szCs w:val="32"/>
        </w:rPr>
        <w:t>/</w:t>
      </w:r>
      <w:r>
        <w:rPr>
          <w:rFonts w:ascii="仿宋_GB2312" w:eastAsia="仿宋_GB2312" w:hint="eastAsia"/>
          <w:sz w:val="32"/>
          <w:szCs w:val="32"/>
        </w:rPr>
        <w:t>2</w:t>
      </w:r>
      <w:r w:rsidRPr="00B66ECC">
        <w:rPr>
          <w:rFonts w:ascii="仿宋_GB2312" w:eastAsia="仿宋_GB2312" w:hint="eastAsia"/>
          <w:sz w:val="32"/>
          <w:szCs w:val="32"/>
        </w:rPr>
        <w:t>的80%确定；双学位按所攻读专业学费标准总额2/3的80%确定。</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第二十三条  三类学分课程包括：学生参加课程期末考试、补考均不及格，通过重新学习取得学分的课程；学生对已取得的课程学分及其成绩不满意，自愿申请重新学习的课程。三类学分单价按各专业中二类学分单价最低的80%确定。</w:t>
      </w:r>
    </w:p>
    <w:p w:rsidR="007E7771" w:rsidRPr="00B66ECC" w:rsidRDefault="007E7771" w:rsidP="007E7771">
      <w:pPr>
        <w:pStyle w:val="a5"/>
        <w:spacing w:line="440" w:lineRule="exact"/>
        <w:ind w:leftChars="0" w:left="0" w:firstLineChars="200" w:firstLine="640"/>
        <w:rPr>
          <w:rFonts w:ascii="仿宋_GB2312" w:eastAsia="仿宋_GB2312" w:hint="eastAsia"/>
          <w:sz w:val="32"/>
          <w:szCs w:val="32"/>
        </w:rPr>
      </w:pPr>
      <w:r w:rsidRPr="00B66ECC">
        <w:rPr>
          <w:rFonts w:ascii="仿宋_GB2312" w:eastAsia="仿宋_GB2312" w:hint="eastAsia"/>
          <w:sz w:val="32"/>
          <w:szCs w:val="32"/>
        </w:rPr>
        <w:t>第二十四条  学生选课必须按其所选学分数及其学分单价交纳学费。学生欠费，选课结果无效或不能参加选课（经济困难学生按有关规定办理）。</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第七章  教学与考核</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第二十五条  制定学分制选课教学管理规定，明确教学纪律、平时成绩考核、期未考试、成绩评定等工作的基本要求与办法。</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第二十六条  制定学分制选课教师教学工作质量考核试行办法，对教师教学业绩、开班人数、津贴等进行明确规定，实行选课人数与津贴等挂钩。</w:t>
      </w:r>
    </w:p>
    <w:p w:rsidR="007E7771" w:rsidRPr="001B59B4" w:rsidRDefault="007E7771" w:rsidP="007E7771">
      <w:pPr>
        <w:numPr>
          <w:ilvl w:val="0"/>
          <w:numId w:val="1"/>
        </w:numPr>
        <w:jc w:val="center"/>
        <w:rPr>
          <w:rFonts w:ascii="方正黑体_GBK" w:eastAsia="方正黑体_GBK" w:hint="eastAsia"/>
          <w:sz w:val="32"/>
          <w:szCs w:val="32"/>
        </w:rPr>
      </w:pPr>
      <w:r w:rsidRPr="001B59B4">
        <w:rPr>
          <w:rFonts w:ascii="方正黑体_GBK" w:eastAsia="方正黑体_GBK" w:hint="eastAsia"/>
          <w:sz w:val="32"/>
          <w:szCs w:val="32"/>
        </w:rPr>
        <w:t>保障措施</w:t>
      </w:r>
    </w:p>
    <w:p w:rsidR="007E7771" w:rsidRPr="00FE5586" w:rsidRDefault="007E7771" w:rsidP="007E7771">
      <w:pPr>
        <w:ind w:firstLineChars="200" w:firstLine="640"/>
        <w:rPr>
          <w:rFonts w:ascii="仿宋_GB2312" w:eastAsia="仿宋_GB2312" w:hint="eastAsia"/>
          <w:sz w:val="32"/>
          <w:szCs w:val="32"/>
        </w:rPr>
      </w:pPr>
      <w:r w:rsidRPr="00FE5586">
        <w:rPr>
          <w:rFonts w:ascii="仿宋_GB2312" w:eastAsia="仿宋_GB2312" w:hint="eastAsia"/>
          <w:sz w:val="32"/>
          <w:szCs w:val="32"/>
        </w:rPr>
        <w:t>第二十七条  加强组织领导，全面推进学分制教学管理改革与建设。实行目标责任制，明确各有关部门及各学院责任与任务，加强协调配合，做好各项工作。</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第二十八条  配套专项资金，开展课程资源建设、学分制硬件与软件建设。深入开展研究，认真分析与提出立足长远、满足需要、全面覆盖、具有特色的学分制建设实施方案。</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第二十九条  加强教务管理人员学习培训，加强教学管理手段建设，提高管理水平。</w:t>
      </w:r>
    </w:p>
    <w:p w:rsidR="007E7771" w:rsidRPr="00E829F2" w:rsidRDefault="007E7771" w:rsidP="007E7771">
      <w:pPr>
        <w:pStyle w:val="a5"/>
        <w:spacing w:line="440" w:lineRule="exact"/>
        <w:ind w:firstLine="480"/>
        <w:rPr>
          <w:rFonts w:hint="eastAsia"/>
          <w:sz w:val="24"/>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Default="007E7771" w:rsidP="007E7771">
      <w:pPr>
        <w:jc w:val="center"/>
        <w:rPr>
          <w:rFonts w:ascii="仿宋_GB2312" w:eastAsia="仿宋_GB2312" w:hint="eastAsia"/>
          <w:sz w:val="32"/>
          <w:szCs w:val="32"/>
        </w:rPr>
      </w:pPr>
    </w:p>
    <w:p w:rsidR="007E7771" w:rsidRPr="00FE5586" w:rsidRDefault="007E7771" w:rsidP="007E7771">
      <w:pPr>
        <w:spacing w:line="600" w:lineRule="exact"/>
        <w:jc w:val="center"/>
        <w:rPr>
          <w:rFonts w:ascii="方正小标宋_GBK" w:eastAsia="方正小标宋_GBK" w:hint="eastAsia"/>
          <w:sz w:val="44"/>
          <w:szCs w:val="44"/>
        </w:rPr>
      </w:pPr>
      <w:r w:rsidRPr="00FE5586">
        <w:rPr>
          <w:rFonts w:ascii="方正小标宋_GBK" w:eastAsia="方正小标宋_GBK" w:hint="eastAsia"/>
          <w:sz w:val="44"/>
          <w:szCs w:val="44"/>
        </w:rPr>
        <w:t>昆明理工大学本科学分制收费管理试行办法</w:t>
      </w:r>
    </w:p>
    <w:p w:rsidR="007E7771" w:rsidRDefault="007E7771" w:rsidP="007E7771">
      <w:pPr>
        <w:jc w:val="center"/>
        <w:rPr>
          <w:rFonts w:ascii="仿宋_GB2312" w:eastAsia="仿宋_GB2312" w:hint="eastAsia"/>
          <w:sz w:val="32"/>
          <w:szCs w:val="32"/>
        </w:rPr>
      </w:pP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第一章  总则</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第一条  制定学分制收费管理办法，建立科学、高效、严谨的收费管理体系，规范收费行为，是保证全面推进学分制教学管理的重要环节。</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第二条  根据《云南省发展和改革委员会转发国家发展改革委员会进一步加强高等学校学分制收费管理文件的通知》(云发改收费〔2006〕535号)、《云南省发展和改革委员会、云南省财政厅、云南省教育厅关于我省高校双学位教育等收费标准及有关问题的通知》（云发改收费</w:t>
      </w:r>
      <w:r>
        <w:rPr>
          <w:rFonts w:ascii="仿宋_GB2312" w:eastAsia="仿宋_GB2312" w:hint="eastAsia"/>
          <w:sz w:val="32"/>
        </w:rPr>
        <w:t>〔2008〕</w:t>
      </w:r>
      <w:r w:rsidRPr="00FE5586">
        <w:rPr>
          <w:rFonts w:ascii="仿宋_GB2312" w:eastAsia="仿宋_GB2312" w:hint="eastAsia"/>
          <w:sz w:val="32"/>
          <w:szCs w:val="32"/>
        </w:rPr>
        <w:t>1663号）文件精神，结合学校实际情况，特制定本办法。</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第二章  学费标准</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第三条  按一类、二类、三类学分实行课程管理与学分收费。</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第四条  根据学科大类确定本科专业毕业总学分与学分单价。</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第五条  对一类学分学费实行总额标准制。学生在弹性学制内，正常完成（通过期末考试或补考，成绩合格）主专业本科培养方案规定的课程学习，取得毕业规定最低总学分所缴纳的学分学费，严格按照云南省发改委核定的收费标准确定收费上限。</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第六条  对二类学分学费实行优惠收费制。鼓励学有余力学生攻读二专业、二学位，鼓励学生在完成专业培养方案规定课程学习的基础上，选修其它课程。按（云发改收费[2008]1663号文件）核准的双专业、双学位的最高收费标准的80%收取二类学分学费。</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第七条  对三类学分学费实行统一定价制。凡重新学习课程按各专业二类学分单价中最低的80%确定。</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第八条  一类学分课程与一类学分单价</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FE5586">
        <w:rPr>
          <w:rFonts w:ascii="仿宋_GB2312" w:eastAsia="仿宋_GB2312" w:hint="eastAsia"/>
          <w:sz w:val="32"/>
          <w:szCs w:val="32"/>
        </w:rPr>
        <w:t>一类学分课程：学生正常完成主专业本科培养方案规定取得该专业毕业规定最低总学分的课程。</w:t>
      </w:r>
    </w:p>
    <w:p w:rsidR="007E7771" w:rsidRPr="00FE5586"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FE5586">
        <w:rPr>
          <w:rFonts w:ascii="仿宋_GB2312" w:eastAsia="仿宋_GB2312" w:hint="eastAsia"/>
          <w:sz w:val="32"/>
          <w:szCs w:val="32"/>
        </w:rPr>
        <w:t>一类学分单价：根据云南省发改委核准的学费总额与专业学习总学分数确定一类学分单价。</w:t>
      </w:r>
    </w:p>
    <w:p w:rsidR="007E7771" w:rsidRPr="00FE5586" w:rsidRDefault="007E7771" w:rsidP="007E7771">
      <w:pPr>
        <w:pStyle w:val="a5"/>
        <w:spacing w:line="540" w:lineRule="exact"/>
        <w:ind w:leftChars="0" w:left="0" w:firstLineChars="200" w:firstLine="640"/>
        <w:rPr>
          <w:rFonts w:ascii="仿宋_GB2312" w:eastAsia="仿宋_GB2312" w:hint="eastAsia"/>
          <w:sz w:val="32"/>
          <w:szCs w:val="32"/>
        </w:rPr>
      </w:pPr>
      <w:r w:rsidRPr="00FE5586">
        <w:rPr>
          <w:rFonts w:ascii="仿宋_GB2312" w:eastAsia="仿宋_GB2312" w:hint="eastAsia"/>
          <w:sz w:val="32"/>
          <w:szCs w:val="32"/>
        </w:rPr>
        <w:t>一类学分单价=（专业学年学费标准×基本学制）÷毕业规定总学分。</w:t>
      </w:r>
    </w:p>
    <w:p w:rsidR="007E7771" w:rsidRPr="000C3F81" w:rsidRDefault="007E7771" w:rsidP="007E7771">
      <w:pPr>
        <w:pStyle w:val="a5"/>
        <w:spacing w:line="440" w:lineRule="exact"/>
        <w:ind w:leftChars="0" w:left="0" w:firstLineChars="200" w:firstLine="640"/>
        <w:rPr>
          <w:rFonts w:hint="eastAsia"/>
          <w:sz w:val="24"/>
        </w:rPr>
      </w:pPr>
      <w:r>
        <w:rPr>
          <w:rFonts w:ascii="仿宋_GB2312" w:eastAsia="仿宋_GB2312" w:hint="eastAsia"/>
          <w:sz w:val="32"/>
          <w:szCs w:val="32"/>
        </w:rPr>
        <w:t>（三）</w:t>
      </w:r>
      <w:r w:rsidRPr="00FE5586">
        <w:rPr>
          <w:rFonts w:ascii="仿宋_GB2312" w:eastAsia="仿宋_GB2312" w:hint="eastAsia"/>
          <w:sz w:val="32"/>
          <w:szCs w:val="32"/>
        </w:rPr>
        <w:t>按理工、文学、管经法与艺术类确定专业总学分数与一类学分单价。</w:t>
      </w:r>
    </w:p>
    <w:p w:rsidR="007E7771" w:rsidRPr="00732001" w:rsidRDefault="007E7771" w:rsidP="007E7771">
      <w:pPr>
        <w:pStyle w:val="a5"/>
        <w:spacing w:line="360" w:lineRule="exact"/>
        <w:ind w:leftChars="0" w:left="0"/>
        <w:jc w:val="center"/>
        <w:rPr>
          <w:rFonts w:ascii="仿宋_GB2312" w:eastAsia="仿宋_GB2312" w:hint="eastAsia"/>
          <w:sz w:val="32"/>
          <w:szCs w:val="32"/>
        </w:rPr>
      </w:pPr>
      <w:r w:rsidRPr="00732001">
        <w:rPr>
          <w:rFonts w:ascii="仿宋_GB2312" w:eastAsia="仿宋_GB2312" w:hint="eastAsia"/>
          <w:sz w:val="32"/>
          <w:szCs w:val="32"/>
        </w:rPr>
        <w:t>本科专业总学分数与一类学分单价一览表</w:t>
      </w:r>
    </w:p>
    <w:tbl>
      <w:tblPr>
        <w:tblStyle w:val="a6"/>
        <w:tblW w:w="0" w:type="auto"/>
        <w:jc w:val="center"/>
        <w:tblLook w:val="01E0" w:firstRow="1" w:lastRow="1" w:firstColumn="1" w:lastColumn="1" w:noHBand="0" w:noVBand="0"/>
      </w:tblPr>
      <w:tblGrid>
        <w:gridCol w:w="1527"/>
        <w:gridCol w:w="936"/>
        <w:gridCol w:w="1308"/>
        <w:gridCol w:w="1618"/>
        <w:gridCol w:w="1659"/>
        <w:gridCol w:w="1850"/>
      </w:tblGrid>
      <w:tr w:rsidR="007E7771" w:rsidRPr="00CA06A3">
        <w:trPr>
          <w:jc w:val="center"/>
        </w:trPr>
        <w:tc>
          <w:tcPr>
            <w:tcW w:w="1527"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sidRPr="00CA06A3">
              <w:rPr>
                <w:rFonts w:ascii="仿宋_GB2312" w:eastAsia="仿宋_GB2312" w:hint="eastAsia"/>
                <w:sz w:val="24"/>
              </w:rPr>
              <w:t>专业类别</w:t>
            </w:r>
          </w:p>
        </w:tc>
        <w:tc>
          <w:tcPr>
            <w:tcW w:w="93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学制</w:t>
            </w:r>
          </w:p>
        </w:tc>
        <w:tc>
          <w:tcPr>
            <w:tcW w:w="1308"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sidRPr="00CA06A3">
              <w:rPr>
                <w:rFonts w:ascii="仿宋_GB2312" w:eastAsia="仿宋_GB2312" w:hint="eastAsia"/>
                <w:sz w:val="24"/>
              </w:rPr>
              <w:t>总学分</w:t>
            </w:r>
          </w:p>
        </w:tc>
        <w:tc>
          <w:tcPr>
            <w:tcW w:w="1618"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学年学费 （元/年）</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sidRPr="00CA06A3">
              <w:rPr>
                <w:rFonts w:ascii="仿宋_GB2312" w:eastAsia="仿宋_GB2312" w:hint="eastAsia"/>
                <w:sz w:val="24"/>
              </w:rPr>
              <w:t>总学费</w:t>
            </w:r>
            <w:r>
              <w:rPr>
                <w:rFonts w:ascii="仿宋_GB2312" w:eastAsia="仿宋_GB2312" w:hint="eastAsia"/>
                <w:sz w:val="24"/>
              </w:rPr>
              <w:t>（元）</w:t>
            </w:r>
          </w:p>
        </w:tc>
        <w:tc>
          <w:tcPr>
            <w:tcW w:w="1850" w:type="dxa"/>
            <w:vAlign w:val="center"/>
          </w:tcPr>
          <w:p w:rsidR="007E7771" w:rsidRDefault="007E7771" w:rsidP="007E7771">
            <w:pPr>
              <w:pStyle w:val="a5"/>
              <w:spacing w:line="360" w:lineRule="exact"/>
              <w:jc w:val="center"/>
              <w:rPr>
                <w:rFonts w:ascii="仿宋_GB2312" w:eastAsia="仿宋_GB2312" w:hint="eastAsia"/>
                <w:sz w:val="24"/>
              </w:rPr>
            </w:pPr>
            <w:r w:rsidRPr="00CA06A3">
              <w:rPr>
                <w:rFonts w:ascii="仿宋_GB2312" w:eastAsia="仿宋_GB2312" w:hint="eastAsia"/>
                <w:sz w:val="24"/>
              </w:rPr>
              <w:t>学分单价</w:t>
            </w:r>
          </w:p>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（元/学分）</w:t>
            </w:r>
          </w:p>
        </w:tc>
      </w:tr>
      <w:tr w:rsidR="007E7771" w:rsidRPr="00CA06A3">
        <w:trPr>
          <w:jc w:val="center"/>
        </w:trPr>
        <w:tc>
          <w:tcPr>
            <w:tcW w:w="1527" w:type="dxa"/>
            <w:vMerge w:val="restart"/>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理工科</w:t>
            </w:r>
          </w:p>
        </w:tc>
        <w:tc>
          <w:tcPr>
            <w:tcW w:w="93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308"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200</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4500</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18000</w:t>
            </w:r>
          </w:p>
        </w:tc>
        <w:tc>
          <w:tcPr>
            <w:tcW w:w="1850"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90</w:t>
            </w:r>
          </w:p>
        </w:tc>
      </w:tr>
      <w:tr w:rsidR="007E7771" w:rsidRPr="00CA06A3">
        <w:trPr>
          <w:jc w:val="center"/>
        </w:trPr>
        <w:tc>
          <w:tcPr>
            <w:tcW w:w="1527" w:type="dxa"/>
            <w:vMerge/>
            <w:vAlign w:val="center"/>
          </w:tcPr>
          <w:p w:rsidR="007E7771" w:rsidRDefault="007E7771" w:rsidP="007E7771">
            <w:pPr>
              <w:pStyle w:val="a5"/>
              <w:spacing w:line="360" w:lineRule="exact"/>
              <w:jc w:val="center"/>
              <w:rPr>
                <w:rFonts w:ascii="仿宋_GB2312" w:eastAsia="仿宋_GB2312" w:hint="eastAsia"/>
                <w:sz w:val="24"/>
              </w:rPr>
            </w:pPr>
          </w:p>
        </w:tc>
        <w:tc>
          <w:tcPr>
            <w:tcW w:w="93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五</w:t>
            </w:r>
          </w:p>
        </w:tc>
        <w:tc>
          <w:tcPr>
            <w:tcW w:w="1308"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250</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4500</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22500</w:t>
            </w:r>
          </w:p>
        </w:tc>
        <w:tc>
          <w:tcPr>
            <w:tcW w:w="1850"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90</w:t>
            </w:r>
          </w:p>
        </w:tc>
      </w:tr>
      <w:tr w:rsidR="007E7771" w:rsidRPr="00CA06A3">
        <w:trPr>
          <w:jc w:val="center"/>
        </w:trPr>
        <w:tc>
          <w:tcPr>
            <w:tcW w:w="1527"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文学</w:t>
            </w:r>
          </w:p>
        </w:tc>
        <w:tc>
          <w:tcPr>
            <w:tcW w:w="93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308"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152</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3400</w:t>
            </w:r>
          </w:p>
        </w:tc>
        <w:tc>
          <w:tcPr>
            <w:tcW w:w="1659"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13600</w:t>
            </w:r>
          </w:p>
        </w:tc>
        <w:tc>
          <w:tcPr>
            <w:tcW w:w="1850"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90</w:t>
            </w:r>
          </w:p>
        </w:tc>
      </w:tr>
      <w:tr w:rsidR="007E7771" w:rsidRPr="00CA06A3">
        <w:trPr>
          <w:jc w:val="center"/>
        </w:trPr>
        <w:tc>
          <w:tcPr>
            <w:tcW w:w="1527"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管经法</w:t>
            </w:r>
          </w:p>
        </w:tc>
        <w:tc>
          <w:tcPr>
            <w:tcW w:w="93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308"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178</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4000</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16000</w:t>
            </w:r>
          </w:p>
        </w:tc>
        <w:tc>
          <w:tcPr>
            <w:tcW w:w="1850"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90</w:t>
            </w:r>
          </w:p>
        </w:tc>
      </w:tr>
      <w:tr w:rsidR="007E7771" w:rsidRPr="00CA06A3">
        <w:trPr>
          <w:jc w:val="center"/>
        </w:trPr>
        <w:tc>
          <w:tcPr>
            <w:tcW w:w="1527"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艺术1</w:t>
            </w:r>
          </w:p>
        </w:tc>
        <w:tc>
          <w:tcPr>
            <w:tcW w:w="93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四（工）</w:t>
            </w:r>
          </w:p>
        </w:tc>
        <w:tc>
          <w:tcPr>
            <w:tcW w:w="1308"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170</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8500</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34000</w:t>
            </w:r>
          </w:p>
        </w:tc>
        <w:tc>
          <w:tcPr>
            <w:tcW w:w="1850"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200</w:t>
            </w:r>
          </w:p>
        </w:tc>
      </w:tr>
      <w:tr w:rsidR="007E7771" w:rsidRPr="00CA06A3">
        <w:trPr>
          <w:jc w:val="center"/>
        </w:trPr>
        <w:tc>
          <w:tcPr>
            <w:tcW w:w="1527"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艺术2</w:t>
            </w:r>
          </w:p>
        </w:tc>
        <w:tc>
          <w:tcPr>
            <w:tcW w:w="936" w:type="dxa"/>
            <w:vAlign w:val="center"/>
          </w:tcPr>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四（艺）</w:t>
            </w:r>
          </w:p>
        </w:tc>
        <w:tc>
          <w:tcPr>
            <w:tcW w:w="1308"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200</w:t>
            </w:r>
          </w:p>
        </w:tc>
        <w:tc>
          <w:tcPr>
            <w:tcW w:w="1618"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10000</w:t>
            </w:r>
          </w:p>
        </w:tc>
        <w:tc>
          <w:tcPr>
            <w:tcW w:w="1659"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40000</w:t>
            </w:r>
          </w:p>
        </w:tc>
        <w:tc>
          <w:tcPr>
            <w:tcW w:w="1850"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200</w:t>
            </w:r>
          </w:p>
        </w:tc>
      </w:tr>
    </w:tbl>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w:t>
      </w:r>
      <w:r w:rsidRPr="00732001">
        <w:rPr>
          <w:rFonts w:ascii="仿宋_GB2312" w:eastAsia="仿宋_GB2312" w:hint="eastAsia"/>
          <w:sz w:val="32"/>
          <w:szCs w:val="32"/>
        </w:rPr>
        <w:t>以云南省发改委核准的学费总额为标准，文学、管经法按一类学分单价收费超出总额的部分学费在学生毕业当年最后一次选课中自动扣除。</w:t>
      </w:r>
    </w:p>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sidRPr="00732001">
        <w:rPr>
          <w:rFonts w:ascii="仿宋_GB2312" w:eastAsia="仿宋_GB2312" w:hint="eastAsia"/>
          <w:sz w:val="32"/>
          <w:szCs w:val="32"/>
        </w:rPr>
        <w:t>第九条  二类学分课程与二类学分单价</w:t>
      </w:r>
    </w:p>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732001">
        <w:rPr>
          <w:rFonts w:ascii="仿宋_GB2312" w:eastAsia="仿宋_GB2312" w:hint="eastAsia"/>
          <w:sz w:val="32"/>
          <w:szCs w:val="32"/>
        </w:rPr>
        <w:t>二类学分课程指学生攻读双专业、双学位，按双专业、双学位本科培养方案规定获得毕业最低总学分所须学习的课程；学生已完成所在主专业毕业规定的任选课程，自愿多学的课程。</w:t>
      </w:r>
    </w:p>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732001">
        <w:rPr>
          <w:rFonts w:ascii="仿宋_GB2312" w:eastAsia="仿宋_GB2312" w:hint="eastAsia"/>
          <w:sz w:val="32"/>
          <w:szCs w:val="32"/>
        </w:rPr>
        <w:t>根据（云发改收费</w:t>
      </w:r>
      <w:r>
        <w:rPr>
          <w:rFonts w:ascii="仿宋_GB2312" w:eastAsia="仿宋_GB2312" w:hint="eastAsia"/>
          <w:sz w:val="32"/>
        </w:rPr>
        <w:t>〔2008〕</w:t>
      </w:r>
      <w:r w:rsidRPr="00732001">
        <w:rPr>
          <w:rFonts w:ascii="仿宋_GB2312" w:eastAsia="仿宋_GB2312" w:hint="eastAsia"/>
          <w:sz w:val="32"/>
          <w:szCs w:val="32"/>
        </w:rPr>
        <w:t>1663号文件）精神，参加双专业学习者，最高按就读本科专业当年入学新生执行的学费标准的二分之一交纳学费。参加双学位学习者，最高按就读本科专业当年入学新生执行的学费标准的三分之二交纳学费。</w:t>
      </w:r>
    </w:p>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sidRPr="00732001">
        <w:rPr>
          <w:rFonts w:ascii="仿宋_GB2312" w:eastAsia="仿宋_GB2312" w:hint="eastAsia"/>
          <w:sz w:val="32"/>
          <w:szCs w:val="32"/>
        </w:rPr>
        <w:t>（三）为鼓励学生选修二类学分课程，双专业学费按所攻读专业学费总额1/2的80%确定；双学位按所攻读专业学费总额2/3的80%确定。双专业与双学位的学分单价一致。</w:t>
      </w:r>
    </w:p>
    <w:p w:rsidR="007E7771" w:rsidRPr="00732001"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w:t>
      </w:r>
      <w:r w:rsidRPr="00732001">
        <w:rPr>
          <w:rFonts w:ascii="仿宋_GB2312" w:eastAsia="仿宋_GB2312" w:hint="eastAsia"/>
          <w:sz w:val="32"/>
          <w:szCs w:val="32"/>
        </w:rPr>
        <w:t>学生已完成所在主专业毕业规定的任选课程，自愿多学的课程，按双专业与双学位的学分单价收费。</w:t>
      </w:r>
    </w:p>
    <w:p w:rsidR="007E7771" w:rsidRPr="00732001" w:rsidRDefault="007E7771" w:rsidP="007E7771">
      <w:pPr>
        <w:pStyle w:val="a5"/>
        <w:spacing w:line="540" w:lineRule="exact"/>
        <w:ind w:leftChars="0" w:left="0"/>
        <w:jc w:val="center"/>
        <w:rPr>
          <w:rFonts w:ascii="仿宋_GB2312" w:eastAsia="仿宋_GB2312" w:hint="eastAsia"/>
          <w:sz w:val="32"/>
          <w:szCs w:val="32"/>
        </w:rPr>
      </w:pPr>
      <w:r w:rsidRPr="00732001">
        <w:rPr>
          <w:rFonts w:ascii="仿宋_GB2312" w:eastAsia="仿宋_GB2312" w:hint="eastAsia"/>
          <w:sz w:val="32"/>
          <w:szCs w:val="32"/>
        </w:rPr>
        <w:t>本科专业二类学分单价一览表</w:t>
      </w:r>
    </w:p>
    <w:tbl>
      <w:tblPr>
        <w:tblStyle w:val="a6"/>
        <w:tblW w:w="8848" w:type="dxa"/>
        <w:jc w:val="center"/>
        <w:tblLayout w:type="fixed"/>
        <w:tblLook w:val="01E0" w:firstRow="1" w:lastRow="1" w:firstColumn="1" w:lastColumn="1" w:noHBand="0" w:noVBand="0"/>
      </w:tblPr>
      <w:tblGrid>
        <w:gridCol w:w="1306"/>
        <w:gridCol w:w="936"/>
        <w:gridCol w:w="1026"/>
        <w:gridCol w:w="849"/>
        <w:gridCol w:w="1383"/>
        <w:gridCol w:w="1116"/>
        <w:gridCol w:w="966"/>
        <w:gridCol w:w="1266"/>
      </w:tblGrid>
      <w:tr w:rsidR="007E7771" w:rsidRPr="00CA06A3">
        <w:trPr>
          <w:trHeight w:val="540"/>
          <w:jc w:val="center"/>
        </w:trPr>
        <w:tc>
          <w:tcPr>
            <w:tcW w:w="1306" w:type="dxa"/>
            <w:vMerge w:val="restart"/>
            <w:vAlign w:val="center"/>
          </w:tcPr>
          <w:p w:rsidR="007E7771" w:rsidRPr="00CA06A3" w:rsidRDefault="007E7771" w:rsidP="007E7771">
            <w:pPr>
              <w:pStyle w:val="a5"/>
              <w:spacing w:line="360" w:lineRule="exact"/>
              <w:ind w:leftChars="0" w:left="0"/>
              <w:rPr>
                <w:rFonts w:ascii="仿宋_GB2312" w:eastAsia="仿宋_GB2312" w:hint="eastAsia"/>
                <w:sz w:val="24"/>
              </w:rPr>
            </w:pPr>
            <w:r w:rsidRPr="00CA06A3">
              <w:rPr>
                <w:rFonts w:ascii="仿宋_GB2312" w:eastAsia="仿宋_GB2312" w:hint="eastAsia"/>
                <w:sz w:val="24"/>
              </w:rPr>
              <w:t>专业类别</w:t>
            </w:r>
          </w:p>
        </w:tc>
        <w:tc>
          <w:tcPr>
            <w:tcW w:w="936" w:type="dxa"/>
            <w:vMerge w:val="restart"/>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学制</w:t>
            </w:r>
          </w:p>
        </w:tc>
        <w:tc>
          <w:tcPr>
            <w:tcW w:w="3258" w:type="dxa"/>
            <w:gridSpan w:val="3"/>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双专业</w:t>
            </w:r>
          </w:p>
        </w:tc>
        <w:tc>
          <w:tcPr>
            <w:tcW w:w="3348" w:type="dxa"/>
            <w:gridSpan w:val="3"/>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双学位</w:t>
            </w:r>
          </w:p>
        </w:tc>
      </w:tr>
      <w:tr w:rsidR="007E7771" w:rsidRPr="00CA06A3">
        <w:trPr>
          <w:trHeight w:val="540"/>
          <w:jc w:val="center"/>
        </w:trPr>
        <w:tc>
          <w:tcPr>
            <w:tcW w:w="1306" w:type="dxa"/>
            <w:vMerge/>
            <w:vAlign w:val="center"/>
          </w:tcPr>
          <w:p w:rsidR="007E7771" w:rsidRPr="00CA06A3" w:rsidRDefault="007E7771" w:rsidP="007E7771">
            <w:pPr>
              <w:pStyle w:val="a5"/>
              <w:spacing w:line="360" w:lineRule="exact"/>
              <w:jc w:val="center"/>
              <w:rPr>
                <w:rFonts w:ascii="仿宋_GB2312" w:eastAsia="仿宋_GB2312" w:hint="eastAsia"/>
                <w:sz w:val="24"/>
              </w:rPr>
            </w:pPr>
          </w:p>
        </w:tc>
        <w:tc>
          <w:tcPr>
            <w:tcW w:w="936" w:type="dxa"/>
            <w:vMerge/>
            <w:vAlign w:val="center"/>
          </w:tcPr>
          <w:p w:rsidR="007E7771" w:rsidRDefault="007E7771" w:rsidP="007E7771">
            <w:pPr>
              <w:pStyle w:val="a5"/>
              <w:spacing w:line="360" w:lineRule="exact"/>
              <w:jc w:val="center"/>
              <w:rPr>
                <w:rFonts w:ascii="仿宋_GB2312" w:eastAsia="仿宋_GB2312" w:hint="eastAsia"/>
                <w:sz w:val="24"/>
              </w:rPr>
            </w:pPr>
          </w:p>
        </w:tc>
        <w:tc>
          <w:tcPr>
            <w:tcW w:w="1026" w:type="dxa"/>
            <w:vAlign w:val="center"/>
          </w:tcPr>
          <w:p w:rsidR="007E7771" w:rsidRPr="00846471" w:rsidRDefault="007E7771" w:rsidP="007E7771">
            <w:pPr>
              <w:pStyle w:val="a5"/>
              <w:spacing w:line="360" w:lineRule="exact"/>
              <w:ind w:leftChars="0" w:left="0"/>
              <w:rPr>
                <w:rFonts w:ascii="仿宋_GB2312" w:eastAsia="仿宋_GB2312" w:hint="eastAsia"/>
                <w:szCs w:val="21"/>
              </w:rPr>
            </w:pPr>
            <w:r>
              <w:rPr>
                <w:rFonts w:ascii="仿宋_GB2312" w:eastAsia="仿宋_GB2312" w:hint="eastAsia"/>
                <w:szCs w:val="21"/>
              </w:rPr>
              <w:t>总学分</w:t>
            </w:r>
          </w:p>
        </w:tc>
        <w:tc>
          <w:tcPr>
            <w:tcW w:w="849" w:type="dxa"/>
            <w:vAlign w:val="center"/>
          </w:tcPr>
          <w:p w:rsidR="007E7771" w:rsidRPr="00846471" w:rsidRDefault="007E7771" w:rsidP="007E7771">
            <w:pPr>
              <w:pStyle w:val="a5"/>
              <w:spacing w:line="360" w:lineRule="exact"/>
              <w:ind w:leftChars="0" w:left="0"/>
              <w:rPr>
                <w:rFonts w:ascii="仿宋_GB2312" w:eastAsia="仿宋_GB2312" w:hint="eastAsia"/>
                <w:szCs w:val="21"/>
              </w:rPr>
            </w:pPr>
            <w:r>
              <w:rPr>
                <w:rFonts w:ascii="仿宋_GB2312" w:eastAsia="仿宋_GB2312" w:hint="eastAsia"/>
                <w:szCs w:val="21"/>
              </w:rPr>
              <w:t>总</w:t>
            </w:r>
            <w:r w:rsidRPr="00846471">
              <w:rPr>
                <w:rFonts w:ascii="仿宋_GB2312" w:eastAsia="仿宋_GB2312" w:hint="eastAsia"/>
                <w:szCs w:val="21"/>
              </w:rPr>
              <w:t>学费（元）</w:t>
            </w:r>
          </w:p>
        </w:tc>
        <w:tc>
          <w:tcPr>
            <w:tcW w:w="1383" w:type="dxa"/>
            <w:vAlign w:val="center"/>
          </w:tcPr>
          <w:p w:rsidR="007E7771" w:rsidRDefault="007E7771" w:rsidP="007E7771">
            <w:pPr>
              <w:pStyle w:val="a5"/>
              <w:spacing w:line="360" w:lineRule="exact"/>
              <w:ind w:leftChars="0" w:left="0"/>
              <w:rPr>
                <w:rFonts w:ascii="仿宋_GB2312" w:eastAsia="仿宋_GB2312" w:hint="eastAsia"/>
                <w:szCs w:val="21"/>
              </w:rPr>
            </w:pPr>
            <w:r w:rsidRPr="00846471">
              <w:rPr>
                <w:rFonts w:ascii="仿宋_GB2312" w:eastAsia="仿宋_GB2312" w:hint="eastAsia"/>
                <w:szCs w:val="21"/>
              </w:rPr>
              <w:t>学分单价</w:t>
            </w:r>
          </w:p>
          <w:p w:rsidR="007E7771" w:rsidRPr="00846471" w:rsidRDefault="007E7771" w:rsidP="007E7771">
            <w:pPr>
              <w:pStyle w:val="a5"/>
              <w:spacing w:line="360" w:lineRule="exact"/>
              <w:ind w:leftChars="0" w:left="0"/>
              <w:rPr>
                <w:rFonts w:ascii="仿宋_GB2312" w:eastAsia="仿宋_GB2312" w:hint="eastAsia"/>
                <w:szCs w:val="21"/>
              </w:rPr>
            </w:pPr>
            <w:r w:rsidRPr="00846471">
              <w:rPr>
                <w:rFonts w:ascii="仿宋_GB2312" w:eastAsia="仿宋_GB2312" w:hint="eastAsia"/>
                <w:szCs w:val="21"/>
              </w:rPr>
              <w:t>（元/学分）</w:t>
            </w:r>
          </w:p>
        </w:tc>
        <w:tc>
          <w:tcPr>
            <w:tcW w:w="1116" w:type="dxa"/>
            <w:vAlign w:val="center"/>
          </w:tcPr>
          <w:p w:rsidR="007E7771" w:rsidRPr="00846471" w:rsidRDefault="007E7771" w:rsidP="007E7771">
            <w:pPr>
              <w:pStyle w:val="a5"/>
              <w:spacing w:line="360" w:lineRule="exact"/>
              <w:ind w:leftChars="0" w:left="0"/>
              <w:rPr>
                <w:rFonts w:ascii="仿宋_GB2312" w:eastAsia="仿宋_GB2312" w:hint="eastAsia"/>
                <w:szCs w:val="21"/>
              </w:rPr>
            </w:pPr>
            <w:r>
              <w:rPr>
                <w:rFonts w:ascii="仿宋_GB2312" w:eastAsia="仿宋_GB2312" w:hint="eastAsia"/>
                <w:szCs w:val="21"/>
              </w:rPr>
              <w:t xml:space="preserve"> </w:t>
            </w:r>
            <w:r w:rsidRPr="00846471">
              <w:rPr>
                <w:rFonts w:ascii="仿宋_GB2312" w:eastAsia="仿宋_GB2312" w:hint="eastAsia"/>
                <w:szCs w:val="21"/>
              </w:rPr>
              <w:t>总学分</w:t>
            </w:r>
          </w:p>
        </w:tc>
        <w:tc>
          <w:tcPr>
            <w:tcW w:w="966" w:type="dxa"/>
            <w:vAlign w:val="center"/>
          </w:tcPr>
          <w:p w:rsidR="007E7771" w:rsidRPr="00846471" w:rsidRDefault="007E7771" w:rsidP="007E7771">
            <w:pPr>
              <w:pStyle w:val="a5"/>
              <w:spacing w:line="360" w:lineRule="exact"/>
              <w:ind w:leftChars="0" w:left="0"/>
              <w:rPr>
                <w:rFonts w:ascii="仿宋_GB2312" w:eastAsia="仿宋_GB2312" w:hint="eastAsia"/>
                <w:szCs w:val="21"/>
              </w:rPr>
            </w:pPr>
            <w:r>
              <w:rPr>
                <w:rFonts w:ascii="仿宋_GB2312" w:eastAsia="仿宋_GB2312" w:hint="eastAsia"/>
                <w:szCs w:val="21"/>
              </w:rPr>
              <w:t>总</w:t>
            </w:r>
            <w:r w:rsidRPr="00846471">
              <w:rPr>
                <w:rFonts w:ascii="仿宋_GB2312" w:eastAsia="仿宋_GB2312" w:hint="eastAsia"/>
                <w:szCs w:val="21"/>
              </w:rPr>
              <w:t>学费</w:t>
            </w:r>
            <w:r>
              <w:rPr>
                <w:rFonts w:ascii="仿宋_GB2312" w:eastAsia="仿宋_GB2312" w:hint="eastAsia"/>
                <w:szCs w:val="21"/>
              </w:rPr>
              <w:t>（元）</w:t>
            </w:r>
          </w:p>
        </w:tc>
        <w:tc>
          <w:tcPr>
            <w:tcW w:w="1266" w:type="dxa"/>
            <w:vAlign w:val="center"/>
          </w:tcPr>
          <w:p w:rsidR="007E7771" w:rsidRPr="00846471" w:rsidRDefault="007E7771" w:rsidP="007E7771">
            <w:pPr>
              <w:pStyle w:val="a5"/>
              <w:spacing w:line="360" w:lineRule="exact"/>
              <w:ind w:leftChars="0" w:left="0"/>
              <w:rPr>
                <w:rFonts w:ascii="仿宋_GB2312" w:eastAsia="仿宋_GB2312" w:hint="eastAsia"/>
                <w:szCs w:val="21"/>
              </w:rPr>
            </w:pPr>
            <w:r w:rsidRPr="00846471">
              <w:rPr>
                <w:rFonts w:ascii="仿宋_GB2312" w:eastAsia="仿宋_GB2312" w:hint="eastAsia"/>
                <w:szCs w:val="21"/>
              </w:rPr>
              <w:t>学分单价（元/学分）</w:t>
            </w:r>
          </w:p>
        </w:tc>
      </w:tr>
      <w:tr w:rsidR="007E7771" w:rsidRPr="00CA06A3">
        <w:trPr>
          <w:jc w:val="center"/>
        </w:trPr>
        <w:tc>
          <w:tcPr>
            <w:tcW w:w="1306" w:type="dxa"/>
            <w:vMerge w:val="restart"/>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理工科</w:t>
            </w:r>
          </w:p>
        </w:tc>
        <w:tc>
          <w:tcPr>
            <w:tcW w:w="93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02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96</w:t>
            </w:r>
          </w:p>
        </w:tc>
        <w:tc>
          <w:tcPr>
            <w:tcW w:w="849"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7200</w:t>
            </w:r>
          </w:p>
        </w:tc>
        <w:tc>
          <w:tcPr>
            <w:tcW w:w="1383"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c>
          <w:tcPr>
            <w:tcW w:w="1116"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128</w:t>
            </w:r>
          </w:p>
        </w:tc>
        <w:tc>
          <w:tcPr>
            <w:tcW w:w="96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9600</w:t>
            </w:r>
          </w:p>
        </w:tc>
        <w:tc>
          <w:tcPr>
            <w:tcW w:w="1266"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r>
      <w:tr w:rsidR="007E7771" w:rsidRPr="00CA06A3">
        <w:trPr>
          <w:jc w:val="center"/>
        </w:trPr>
        <w:tc>
          <w:tcPr>
            <w:tcW w:w="1306" w:type="dxa"/>
            <w:vMerge/>
            <w:vAlign w:val="center"/>
          </w:tcPr>
          <w:p w:rsidR="007E7771" w:rsidRDefault="007E7771" w:rsidP="007E7771">
            <w:pPr>
              <w:pStyle w:val="a5"/>
              <w:spacing w:line="360" w:lineRule="exact"/>
              <w:jc w:val="center"/>
              <w:rPr>
                <w:rFonts w:ascii="仿宋_GB2312" w:eastAsia="仿宋_GB2312" w:hint="eastAsia"/>
                <w:sz w:val="24"/>
              </w:rPr>
            </w:pPr>
          </w:p>
        </w:tc>
        <w:tc>
          <w:tcPr>
            <w:tcW w:w="93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五</w:t>
            </w:r>
          </w:p>
        </w:tc>
        <w:tc>
          <w:tcPr>
            <w:tcW w:w="102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120</w:t>
            </w:r>
          </w:p>
        </w:tc>
        <w:tc>
          <w:tcPr>
            <w:tcW w:w="849"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9000</w:t>
            </w:r>
          </w:p>
        </w:tc>
        <w:tc>
          <w:tcPr>
            <w:tcW w:w="1383"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c>
          <w:tcPr>
            <w:tcW w:w="1116"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160</w:t>
            </w:r>
          </w:p>
        </w:tc>
        <w:tc>
          <w:tcPr>
            <w:tcW w:w="96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12000</w:t>
            </w:r>
          </w:p>
        </w:tc>
        <w:tc>
          <w:tcPr>
            <w:tcW w:w="126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r>
      <w:tr w:rsidR="007E7771" w:rsidRPr="00CA06A3">
        <w:trPr>
          <w:jc w:val="center"/>
        </w:trPr>
        <w:tc>
          <w:tcPr>
            <w:tcW w:w="1306" w:type="dxa"/>
            <w:vAlign w:val="center"/>
          </w:tcPr>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文学</w:t>
            </w:r>
          </w:p>
        </w:tc>
        <w:tc>
          <w:tcPr>
            <w:tcW w:w="93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026" w:type="dxa"/>
            <w:vAlign w:val="center"/>
          </w:tcPr>
          <w:p w:rsidR="007E7771" w:rsidRPr="00043A29"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72</w:t>
            </w:r>
          </w:p>
        </w:tc>
        <w:tc>
          <w:tcPr>
            <w:tcW w:w="849" w:type="dxa"/>
            <w:vAlign w:val="center"/>
          </w:tcPr>
          <w:p w:rsidR="007E7771" w:rsidRPr="00043A29" w:rsidRDefault="007E7771" w:rsidP="007E7771">
            <w:pPr>
              <w:pStyle w:val="a5"/>
              <w:spacing w:line="360" w:lineRule="exact"/>
              <w:ind w:leftChars="0" w:left="0"/>
              <w:rPr>
                <w:rFonts w:ascii="仿宋_GB2312" w:eastAsia="仿宋_GB2312" w:hint="eastAsia"/>
                <w:sz w:val="24"/>
              </w:rPr>
            </w:pPr>
            <w:r w:rsidRPr="00043A29">
              <w:rPr>
                <w:rFonts w:ascii="仿宋_GB2312" w:eastAsia="仿宋_GB2312" w:hint="eastAsia"/>
                <w:sz w:val="24"/>
              </w:rPr>
              <w:t>5440</w:t>
            </w:r>
          </w:p>
        </w:tc>
        <w:tc>
          <w:tcPr>
            <w:tcW w:w="1383" w:type="dxa"/>
            <w:vAlign w:val="center"/>
          </w:tcPr>
          <w:p w:rsidR="007E7771" w:rsidRPr="00043A29"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c>
          <w:tcPr>
            <w:tcW w:w="1116" w:type="dxa"/>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96</w:t>
            </w:r>
          </w:p>
        </w:tc>
        <w:tc>
          <w:tcPr>
            <w:tcW w:w="966" w:type="dxa"/>
            <w:vAlign w:val="center"/>
          </w:tcPr>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7200</w:t>
            </w:r>
          </w:p>
        </w:tc>
        <w:tc>
          <w:tcPr>
            <w:tcW w:w="126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r>
      <w:tr w:rsidR="007E7771" w:rsidRPr="00CA06A3">
        <w:trPr>
          <w:jc w:val="center"/>
        </w:trPr>
        <w:tc>
          <w:tcPr>
            <w:tcW w:w="130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管经法</w:t>
            </w:r>
          </w:p>
        </w:tc>
        <w:tc>
          <w:tcPr>
            <w:tcW w:w="93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四</w:t>
            </w:r>
          </w:p>
        </w:tc>
        <w:tc>
          <w:tcPr>
            <w:tcW w:w="102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85</w:t>
            </w:r>
          </w:p>
        </w:tc>
        <w:tc>
          <w:tcPr>
            <w:tcW w:w="849"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6400</w:t>
            </w:r>
          </w:p>
        </w:tc>
        <w:tc>
          <w:tcPr>
            <w:tcW w:w="1383"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c>
          <w:tcPr>
            <w:tcW w:w="1116"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114</w:t>
            </w:r>
          </w:p>
        </w:tc>
        <w:tc>
          <w:tcPr>
            <w:tcW w:w="96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8500</w:t>
            </w:r>
          </w:p>
        </w:tc>
        <w:tc>
          <w:tcPr>
            <w:tcW w:w="126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75</w:t>
            </w:r>
          </w:p>
        </w:tc>
      </w:tr>
      <w:tr w:rsidR="007E7771" w:rsidRPr="00CA06A3">
        <w:trPr>
          <w:jc w:val="center"/>
        </w:trPr>
        <w:tc>
          <w:tcPr>
            <w:tcW w:w="130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艺术1</w:t>
            </w:r>
          </w:p>
        </w:tc>
        <w:tc>
          <w:tcPr>
            <w:tcW w:w="93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四（工）</w:t>
            </w:r>
          </w:p>
        </w:tc>
        <w:tc>
          <w:tcPr>
            <w:tcW w:w="102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94</w:t>
            </w:r>
          </w:p>
        </w:tc>
        <w:tc>
          <w:tcPr>
            <w:tcW w:w="849"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13600</w:t>
            </w:r>
          </w:p>
        </w:tc>
        <w:tc>
          <w:tcPr>
            <w:tcW w:w="1383"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145</w:t>
            </w:r>
          </w:p>
        </w:tc>
        <w:tc>
          <w:tcPr>
            <w:tcW w:w="1116"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125</w:t>
            </w:r>
          </w:p>
        </w:tc>
        <w:tc>
          <w:tcPr>
            <w:tcW w:w="96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18000</w:t>
            </w:r>
          </w:p>
        </w:tc>
        <w:tc>
          <w:tcPr>
            <w:tcW w:w="126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145</w:t>
            </w:r>
          </w:p>
        </w:tc>
      </w:tr>
      <w:tr w:rsidR="007E7771" w:rsidRPr="00CA06A3">
        <w:trPr>
          <w:jc w:val="center"/>
        </w:trPr>
        <w:tc>
          <w:tcPr>
            <w:tcW w:w="1306" w:type="dxa"/>
            <w:vAlign w:val="center"/>
          </w:tcPr>
          <w:p w:rsidR="007E7771"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艺术2</w:t>
            </w:r>
          </w:p>
        </w:tc>
        <w:tc>
          <w:tcPr>
            <w:tcW w:w="936" w:type="dxa"/>
            <w:vAlign w:val="center"/>
          </w:tcPr>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四（艺）</w:t>
            </w:r>
          </w:p>
        </w:tc>
        <w:tc>
          <w:tcPr>
            <w:tcW w:w="102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110</w:t>
            </w:r>
          </w:p>
        </w:tc>
        <w:tc>
          <w:tcPr>
            <w:tcW w:w="849"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16000</w:t>
            </w:r>
          </w:p>
        </w:tc>
        <w:tc>
          <w:tcPr>
            <w:tcW w:w="1383"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145</w:t>
            </w:r>
          </w:p>
        </w:tc>
        <w:tc>
          <w:tcPr>
            <w:tcW w:w="1116" w:type="dxa"/>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145</w:t>
            </w:r>
          </w:p>
        </w:tc>
        <w:tc>
          <w:tcPr>
            <w:tcW w:w="966" w:type="dxa"/>
            <w:vAlign w:val="center"/>
          </w:tcPr>
          <w:p w:rsidR="007E7771" w:rsidRPr="00CA06A3"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21000</w:t>
            </w:r>
          </w:p>
        </w:tc>
        <w:tc>
          <w:tcPr>
            <w:tcW w:w="1266" w:type="dxa"/>
            <w:vAlign w:val="center"/>
          </w:tcPr>
          <w:p w:rsidR="007E7771" w:rsidRPr="00CA06A3"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145</w:t>
            </w:r>
          </w:p>
        </w:tc>
      </w:tr>
    </w:tbl>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第十条  三类学分课程与三类学分单价</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952EB7">
        <w:rPr>
          <w:rFonts w:ascii="仿宋_GB2312" w:eastAsia="仿宋_GB2312" w:hint="eastAsia"/>
          <w:sz w:val="32"/>
          <w:szCs w:val="32"/>
        </w:rPr>
        <w:t>三类学分课程指重新学习课程。包括：</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学生参加课程期末考试、补考均不及格，通过重新学习获得相应学分的课程。</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学生对某门课程考试取得的合格成绩不满意，自愿申请重新学习的该门课程。</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952EB7">
        <w:rPr>
          <w:rFonts w:ascii="仿宋_GB2312" w:eastAsia="仿宋_GB2312" w:hint="eastAsia"/>
          <w:sz w:val="32"/>
          <w:szCs w:val="32"/>
        </w:rPr>
        <w:t>三类学分单价不分专业学科类别，一律按二类学分单价中最低75元/学分的80%确定为60元/学分。</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第十一条  学校根据教学改革、专业发展的需求适时修订本科培养方案，按修订后的本科培养方案的总学分数与当年云南省发改委规定的学年学费标准核定学分学费。</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第十二条  若云南省高等学校学费标准进行调整，学校将根据新标准对学分学费进行调整。</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第三章  交费与选课</w:t>
      </w:r>
    </w:p>
    <w:p w:rsidR="007E7771" w:rsidRPr="00952EB7" w:rsidRDefault="007E7771" w:rsidP="007E7771">
      <w:pPr>
        <w:ind w:firstLineChars="200" w:firstLine="640"/>
        <w:rPr>
          <w:rFonts w:ascii="仿宋_GB2312" w:eastAsia="仿宋_GB2312" w:hint="eastAsia"/>
          <w:sz w:val="32"/>
          <w:szCs w:val="32"/>
        </w:rPr>
      </w:pPr>
      <w:r w:rsidRPr="00952EB7">
        <w:rPr>
          <w:rFonts w:ascii="仿宋_GB2312" w:eastAsia="仿宋_GB2312" w:hint="eastAsia"/>
          <w:sz w:val="32"/>
          <w:szCs w:val="32"/>
        </w:rPr>
        <w:t>第十三条  学生有义务按其所选学分及其学分单价足额交纳学分学费。</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sidRPr="00952EB7">
        <w:rPr>
          <w:rFonts w:ascii="仿宋_GB2312" w:eastAsia="仿宋_GB2312" w:hint="eastAsia"/>
          <w:sz w:val="32"/>
          <w:szCs w:val="32"/>
        </w:rPr>
        <w:t>第十四条  学生交纳学费与选课进程安排</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952EB7">
        <w:rPr>
          <w:rFonts w:ascii="仿宋_GB2312" w:eastAsia="仿宋_GB2312" w:hint="eastAsia"/>
          <w:sz w:val="32"/>
          <w:szCs w:val="32"/>
        </w:rPr>
        <w:t>除新生第一学期选课工作安排在入学教育期间外，其它各学期的选课工作均安排在各学期期中。除新生第一学年预交一学年学费外，其它各学年按每学期期中选课的学分数计算学分学费，学生须在该学期放假前交费，每学年两次。</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952EB7">
        <w:rPr>
          <w:rFonts w:ascii="仿宋_GB2312" w:eastAsia="仿宋_GB2312" w:hint="eastAsia"/>
          <w:sz w:val="32"/>
          <w:szCs w:val="32"/>
        </w:rPr>
        <w:t>新生到校报到时按学年制交费标准预交一年学费。入学教育期间对一学年上学期课程进行选课，一学年上学期期中对一学年下学期课程进行选课。</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w:t>
      </w:r>
      <w:r w:rsidRPr="00952EB7">
        <w:rPr>
          <w:rFonts w:ascii="仿宋_GB2312" w:eastAsia="仿宋_GB2312" w:hint="eastAsia"/>
          <w:sz w:val="32"/>
          <w:szCs w:val="32"/>
        </w:rPr>
        <w:t>第一学年下学期期中选课后，学校按学生实际选修课程的学分数对学生预交的学费进行核算。预交的学费如有欠费需在第一学年下学期放假前与新增的学分学费一并补交；如有剩余，则自动计入二学年上学期学分学费，不退还学生个人。</w:t>
      </w:r>
    </w:p>
    <w:p w:rsidR="007E7771" w:rsidRPr="00952EB7"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w:t>
      </w:r>
      <w:r w:rsidRPr="00952EB7">
        <w:rPr>
          <w:rFonts w:ascii="仿宋_GB2312" w:eastAsia="仿宋_GB2312" w:hint="eastAsia"/>
          <w:sz w:val="32"/>
          <w:szCs w:val="32"/>
        </w:rPr>
        <w:t>学生在第一学年下学期期中选课时，根据实际选课学分计算学分学费，学生第一学年下学期放假前，按照学校相关规定按时在指定的银行卡中存入足够的学分学费，由银行等额代扣。以后各学期照此办理交费。</w:t>
      </w:r>
    </w:p>
    <w:p w:rsidR="007E7771" w:rsidRPr="00952EB7" w:rsidRDefault="007E7771" w:rsidP="007E7771">
      <w:pPr>
        <w:pStyle w:val="a5"/>
        <w:spacing w:after="0"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（五）</w:t>
      </w:r>
      <w:r w:rsidRPr="00952EB7">
        <w:rPr>
          <w:rFonts w:ascii="仿宋_GB2312" w:eastAsia="仿宋_GB2312" w:hint="eastAsia"/>
          <w:sz w:val="32"/>
          <w:szCs w:val="32"/>
        </w:rPr>
        <w:t>学生在第二学年上学期开学注册时，如有欠费将不能注册。欠费学生选课结果无效，参加有关课程学习与考试的成绩不予认可，成绩管理系统自动拒绝有关成绩登录。</w:t>
      </w:r>
    </w:p>
    <w:p w:rsidR="007E7771" w:rsidRPr="00A46D43" w:rsidRDefault="007E7771" w:rsidP="007E7771">
      <w:pPr>
        <w:pStyle w:val="a5"/>
        <w:spacing w:line="540" w:lineRule="exact"/>
        <w:ind w:leftChars="0" w:left="0"/>
        <w:jc w:val="center"/>
        <w:rPr>
          <w:rFonts w:ascii="仿宋_GB2312" w:eastAsia="仿宋_GB2312" w:hint="eastAsia"/>
          <w:sz w:val="32"/>
          <w:szCs w:val="32"/>
        </w:rPr>
      </w:pPr>
      <w:r w:rsidRPr="00A46D43">
        <w:rPr>
          <w:rFonts w:ascii="仿宋_GB2312" w:eastAsia="仿宋_GB2312" w:hint="eastAsia"/>
          <w:sz w:val="32"/>
          <w:szCs w:val="32"/>
        </w:rPr>
        <w:t>学生交纳学费与选课进程安排一览表</w:t>
      </w:r>
    </w:p>
    <w:tbl>
      <w:tblPr>
        <w:tblStyle w:val="a6"/>
        <w:tblW w:w="0" w:type="auto"/>
        <w:jc w:val="center"/>
        <w:tblLook w:val="01E0" w:firstRow="1" w:lastRow="1" w:firstColumn="1" w:lastColumn="1" w:noHBand="0" w:noVBand="0"/>
      </w:tblPr>
      <w:tblGrid>
        <w:gridCol w:w="1962"/>
        <w:gridCol w:w="1704"/>
        <w:gridCol w:w="6"/>
        <w:gridCol w:w="1698"/>
        <w:gridCol w:w="1705"/>
        <w:gridCol w:w="1909"/>
      </w:tblGrid>
      <w:tr w:rsidR="007E7771" w:rsidRPr="00DB15FD">
        <w:trPr>
          <w:jc w:val="center"/>
        </w:trPr>
        <w:tc>
          <w:tcPr>
            <w:tcW w:w="1962" w:type="dxa"/>
            <w:vMerge w:val="restart"/>
            <w:vAlign w:val="center"/>
          </w:tcPr>
          <w:p w:rsidR="007E7771" w:rsidRPr="00DB15FD" w:rsidRDefault="007E7771" w:rsidP="007E7771">
            <w:pPr>
              <w:pStyle w:val="a5"/>
              <w:spacing w:line="360" w:lineRule="exact"/>
              <w:jc w:val="center"/>
              <w:rPr>
                <w:rFonts w:ascii="仿宋_GB2312" w:eastAsia="仿宋_GB2312" w:hint="eastAsia"/>
                <w:sz w:val="24"/>
              </w:rPr>
            </w:pPr>
          </w:p>
        </w:tc>
        <w:tc>
          <w:tcPr>
            <w:tcW w:w="3408" w:type="dxa"/>
            <w:gridSpan w:val="3"/>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一学年</w:t>
            </w:r>
          </w:p>
        </w:tc>
        <w:tc>
          <w:tcPr>
            <w:tcW w:w="3614" w:type="dxa"/>
            <w:gridSpan w:val="2"/>
            <w:vAlign w:val="center"/>
          </w:tcPr>
          <w:p w:rsidR="007E7771" w:rsidRPr="00DB15FD"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二学年</w:t>
            </w:r>
          </w:p>
        </w:tc>
      </w:tr>
      <w:tr w:rsidR="007E7771" w:rsidRPr="00DB15FD">
        <w:trPr>
          <w:trHeight w:val="90"/>
          <w:jc w:val="center"/>
        </w:trPr>
        <w:tc>
          <w:tcPr>
            <w:tcW w:w="1962" w:type="dxa"/>
            <w:vMerge/>
            <w:vAlign w:val="center"/>
          </w:tcPr>
          <w:p w:rsidR="007E7771" w:rsidRPr="00DB15FD" w:rsidRDefault="007E7771" w:rsidP="007E7771">
            <w:pPr>
              <w:pStyle w:val="a5"/>
              <w:spacing w:line="360" w:lineRule="exact"/>
              <w:jc w:val="center"/>
              <w:rPr>
                <w:rFonts w:ascii="仿宋_GB2312" w:eastAsia="仿宋_GB2312" w:hint="eastAsia"/>
                <w:sz w:val="24"/>
              </w:rPr>
            </w:pPr>
          </w:p>
        </w:tc>
        <w:tc>
          <w:tcPr>
            <w:tcW w:w="1704" w:type="dxa"/>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上学期</w:t>
            </w:r>
          </w:p>
        </w:tc>
        <w:tc>
          <w:tcPr>
            <w:tcW w:w="1704" w:type="dxa"/>
            <w:gridSpan w:val="2"/>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下学期</w:t>
            </w:r>
          </w:p>
        </w:tc>
        <w:tc>
          <w:tcPr>
            <w:tcW w:w="1705" w:type="dxa"/>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上学期</w:t>
            </w:r>
          </w:p>
        </w:tc>
        <w:tc>
          <w:tcPr>
            <w:tcW w:w="1909" w:type="dxa"/>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下学期</w:t>
            </w:r>
          </w:p>
        </w:tc>
      </w:tr>
      <w:tr w:rsidR="007E7771" w:rsidRPr="00DB15FD">
        <w:trPr>
          <w:jc w:val="center"/>
        </w:trPr>
        <w:tc>
          <w:tcPr>
            <w:tcW w:w="1962" w:type="dxa"/>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选课时间</w:t>
            </w:r>
          </w:p>
        </w:tc>
        <w:tc>
          <w:tcPr>
            <w:tcW w:w="1704" w:type="dxa"/>
            <w:vAlign w:val="center"/>
          </w:tcPr>
          <w:p w:rsidR="007E7771" w:rsidRPr="00DB15FD"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入学教育期间、期中</w:t>
            </w:r>
          </w:p>
        </w:tc>
        <w:tc>
          <w:tcPr>
            <w:tcW w:w="1704" w:type="dxa"/>
            <w:gridSpan w:val="2"/>
            <w:vAlign w:val="center"/>
          </w:tcPr>
          <w:p w:rsidR="007E7771" w:rsidRPr="00DB15FD"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期中</w:t>
            </w:r>
          </w:p>
        </w:tc>
        <w:tc>
          <w:tcPr>
            <w:tcW w:w="1705" w:type="dxa"/>
            <w:vAlign w:val="center"/>
          </w:tcPr>
          <w:p w:rsidR="007E7771" w:rsidRPr="00DB15FD"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期中</w:t>
            </w:r>
          </w:p>
        </w:tc>
        <w:tc>
          <w:tcPr>
            <w:tcW w:w="1909" w:type="dxa"/>
            <w:vAlign w:val="center"/>
          </w:tcPr>
          <w:p w:rsidR="007E7771" w:rsidRPr="00DB15FD"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期中</w:t>
            </w:r>
          </w:p>
        </w:tc>
      </w:tr>
      <w:tr w:rsidR="007E7771" w:rsidRPr="00DB15FD">
        <w:trPr>
          <w:jc w:val="center"/>
        </w:trPr>
        <w:tc>
          <w:tcPr>
            <w:tcW w:w="1962" w:type="dxa"/>
            <w:vAlign w:val="center"/>
          </w:tcPr>
          <w:p w:rsidR="007E7771" w:rsidRPr="00DB15FD" w:rsidRDefault="007E7771" w:rsidP="007E7771">
            <w:pPr>
              <w:pStyle w:val="a5"/>
              <w:spacing w:line="360" w:lineRule="exact"/>
              <w:jc w:val="center"/>
              <w:rPr>
                <w:rFonts w:ascii="仿宋_GB2312" w:eastAsia="仿宋_GB2312" w:hint="eastAsia"/>
                <w:sz w:val="24"/>
              </w:rPr>
            </w:pPr>
            <w:r w:rsidRPr="00DB15FD">
              <w:rPr>
                <w:rFonts w:ascii="仿宋_GB2312" w:eastAsia="仿宋_GB2312" w:hint="eastAsia"/>
                <w:sz w:val="24"/>
              </w:rPr>
              <w:t>交费时间</w:t>
            </w:r>
          </w:p>
        </w:tc>
        <w:tc>
          <w:tcPr>
            <w:tcW w:w="1710" w:type="dxa"/>
            <w:gridSpan w:val="2"/>
            <w:vAlign w:val="center"/>
          </w:tcPr>
          <w:p w:rsidR="007E7771" w:rsidRPr="00DB15FD"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入学报到时预交一年学费</w:t>
            </w:r>
          </w:p>
        </w:tc>
        <w:tc>
          <w:tcPr>
            <w:tcW w:w="1698" w:type="dxa"/>
            <w:vAlign w:val="center"/>
          </w:tcPr>
          <w:p w:rsidR="007E7771" w:rsidRPr="00DB15FD"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本学期放假前</w:t>
            </w:r>
          </w:p>
        </w:tc>
        <w:tc>
          <w:tcPr>
            <w:tcW w:w="1705" w:type="dxa"/>
            <w:vAlign w:val="center"/>
          </w:tcPr>
          <w:p w:rsidR="007E7771" w:rsidRPr="00DB15FD"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本学期放假前</w:t>
            </w:r>
          </w:p>
        </w:tc>
        <w:tc>
          <w:tcPr>
            <w:tcW w:w="1909" w:type="dxa"/>
            <w:vAlign w:val="center"/>
          </w:tcPr>
          <w:p w:rsidR="007E7771" w:rsidRPr="00DB15FD"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本学期放假前</w:t>
            </w:r>
          </w:p>
        </w:tc>
      </w:tr>
      <w:tr w:rsidR="007E7771" w:rsidRPr="00DB15FD">
        <w:trPr>
          <w:jc w:val="center"/>
        </w:trPr>
        <w:tc>
          <w:tcPr>
            <w:tcW w:w="1962" w:type="dxa"/>
            <w:vAlign w:val="center"/>
          </w:tcPr>
          <w:p w:rsidR="007E7771" w:rsidRPr="00DB15FD" w:rsidRDefault="007E7771" w:rsidP="007E7771">
            <w:pPr>
              <w:pStyle w:val="a5"/>
              <w:spacing w:line="360" w:lineRule="exact"/>
              <w:jc w:val="center"/>
              <w:rPr>
                <w:rFonts w:ascii="仿宋_GB2312" w:eastAsia="仿宋_GB2312" w:hint="eastAsia"/>
                <w:sz w:val="24"/>
              </w:rPr>
            </w:pPr>
            <w:r>
              <w:rPr>
                <w:rFonts w:ascii="仿宋_GB2312" w:eastAsia="仿宋_GB2312" w:hint="eastAsia"/>
                <w:sz w:val="24"/>
              </w:rPr>
              <w:t>备注</w:t>
            </w:r>
          </w:p>
        </w:tc>
        <w:tc>
          <w:tcPr>
            <w:tcW w:w="7022" w:type="dxa"/>
            <w:gridSpan w:val="5"/>
            <w:vAlign w:val="center"/>
          </w:tcPr>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1、三、四等学年参照二学年安排。</w:t>
            </w:r>
          </w:p>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2、一学年下学期期中的选课结果，须在该学期放假前足额存入指定银行卡由银行代扣与确认后生效。</w:t>
            </w:r>
          </w:p>
          <w:p w:rsidR="007E7771" w:rsidRDefault="007E7771" w:rsidP="007E7771">
            <w:pPr>
              <w:pStyle w:val="a5"/>
              <w:spacing w:line="360" w:lineRule="exact"/>
              <w:ind w:leftChars="0" w:left="0"/>
              <w:rPr>
                <w:rFonts w:ascii="仿宋_GB2312" w:eastAsia="仿宋_GB2312" w:hint="eastAsia"/>
                <w:sz w:val="24"/>
              </w:rPr>
            </w:pPr>
            <w:r>
              <w:rPr>
                <w:rFonts w:ascii="仿宋_GB2312" w:eastAsia="仿宋_GB2312" w:hint="eastAsia"/>
                <w:sz w:val="24"/>
              </w:rPr>
              <w:t>3、欠费学生在一学年下学期期中的选课结果无效，且不能参加以后的选课。</w:t>
            </w:r>
          </w:p>
        </w:tc>
      </w:tr>
    </w:tbl>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sidRPr="00A46D43">
        <w:rPr>
          <w:rFonts w:ascii="仿宋_GB2312" w:eastAsia="仿宋_GB2312" w:hint="eastAsia"/>
          <w:sz w:val="32"/>
          <w:szCs w:val="32"/>
        </w:rPr>
        <w:t>第十五条  除一年级新生按学年收费标准预交一年学费可以现金交费外，其它年级学生交费一律以学校指定的银行卡交费。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sidRPr="00A46D43">
        <w:rPr>
          <w:rFonts w:ascii="仿宋_GB2312" w:eastAsia="仿宋_GB2312" w:hint="eastAsia"/>
          <w:sz w:val="32"/>
          <w:szCs w:val="32"/>
        </w:rPr>
        <w:t>第十六条  家庭经济困难学生不能按时缴纳学分学费者，须按有关规定，及时提出减免或缓交申请，获得批准后可参加选课与注册，参加正常学习活动。</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sidRPr="00A46D43">
        <w:rPr>
          <w:rFonts w:ascii="仿宋_GB2312" w:eastAsia="仿宋_GB2312" w:hint="eastAsia"/>
          <w:sz w:val="32"/>
          <w:szCs w:val="32"/>
        </w:rPr>
        <w:t>第十七条  学生可在最长修读年限内，自主安排学业进程。必须在规定的修读年限内完成所在专业毕业规定的课程学习并足额缴纳学分学费。</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 xml:space="preserve"> 第四章  学生转专业</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sidRPr="00A46D43">
        <w:rPr>
          <w:rFonts w:ascii="仿宋_GB2312" w:eastAsia="仿宋_GB2312" w:hint="eastAsia"/>
          <w:sz w:val="32"/>
          <w:szCs w:val="32"/>
        </w:rPr>
        <w:t>第十八条  优秀学生转专业</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A46D43">
        <w:rPr>
          <w:rFonts w:ascii="仿宋_GB2312" w:eastAsia="仿宋_GB2312" w:hint="eastAsia"/>
          <w:sz w:val="32"/>
          <w:szCs w:val="32"/>
        </w:rPr>
        <w:t>由原专业转入现专业后，后续课程的学习按现专业学分学费标准收费。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A46D43">
        <w:rPr>
          <w:rFonts w:ascii="仿宋_GB2312" w:eastAsia="仿宋_GB2312" w:hint="eastAsia"/>
          <w:sz w:val="32"/>
          <w:szCs w:val="32"/>
        </w:rPr>
        <w:t>在原专业所学课程取得的学分中，如有现专业不要求的，所缴纳的学分学费由学生个人承担，不能冲抵现专业的学分学费。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w:t>
      </w:r>
      <w:r w:rsidRPr="00A46D43">
        <w:rPr>
          <w:rFonts w:ascii="仿宋_GB2312" w:eastAsia="仿宋_GB2312" w:hint="eastAsia"/>
          <w:sz w:val="32"/>
          <w:szCs w:val="32"/>
        </w:rPr>
        <w:t>学校对优秀学生实行鼓励政策，优秀学生根据现专业培养方案要求，如有需要补修第一学年的课程，按三类学分学费标准缴纳学费。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sidRPr="00A46D43">
        <w:rPr>
          <w:rFonts w:ascii="仿宋_GB2312" w:eastAsia="仿宋_GB2312" w:hint="eastAsia"/>
          <w:sz w:val="32"/>
          <w:szCs w:val="32"/>
        </w:rPr>
        <w:t>第十九条  外校学生转入我校</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w:t>
      </w:r>
      <w:r w:rsidRPr="00A46D43">
        <w:rPr>
          <w:rFonts w:ascii="仿宋_GB2312" w:eastAsia="仿宋_GB2312" w:hint="eastAsia"/>
          <w:sz w:val="32"/>
          <w:szCs w:val="32"/>
        </w:rPr>
        <w:t>由外校转入我校的学生，按现专业学分学费标准收取学费。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w:t>
      </w:r>
      <w:r w:rsidRPr="00A46D43">
        <w:rPr>
          <w:rFonts w:ascii="仿宋_GB2312" w:eastAsia="仿宋_GB2312" w:hint="eastAsia"/>
          <w:sz w:val="32"/>
          <w:szCs w:val="32"/>
        </w:rPr>
        <w:t>现专业培养方案规定需要补修的课程，按现专业一类学分单价收取学分学费。</w:t>
      </w:r>
    </w:p>
    <w:p w:rsidR="007E7771" w:rsidRPr="00A46D43"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w:t>
      </w:r>
      <w:r w:rsidRPr="00A46D43">
        <w:rPr>
          <w:rFonts w:ascii="仿宋_GB2312" w:eastAsia="仿宋_GB2312" w:hint="eastAsia"/>
          <w:sz w:val="32"/>
          <w:szCs w:val="32"/>
        </w:rPr>
        <w:t>在外校已修、现专业不要求的课程学分，产生的学费由学生个人承担，不能冲抵现专业学分学费。</w:t>
      </w:r>
    </w:p>
    <w:p w:rsidR="007E7771" w:rsidRDefault="007E7771" w:rsidP="007E7771">
      <w:pPr>
        <w:pStyle w:val="a5"/>
        <w:spacing w:line="44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w:t>
      </w:r>
      <w:r w:rsidRPr="00A46D43">
        <w:rPr>
          <w:rFonts w:ascii="仿宋_GB2312" w:eastAsia="仿宋_GB2312" w:hint="eastAsia"/>
          <w:sz w:val="32"/>
          <w:szCs w:val="32"/>
        </w:rPr>
        <w:t>学生根据现专业培养方案规定的课程进行学习，应缴纳的学费总额根据实际修读的学分核定。</w:t>
      </w:r>
    </w:p>
    <w:p w:rsidR="007E7771" w:rsidRPr="001B59B4" w:rsidRDefault="007E7771" w:rsidP="007E7771">
      <w:pPr>
        <w:pStyle w:val="a5"/>
        <w:spacing w:line="440" w:lineRule="exact"/>
        <w:ind w:leftChars="0" w:left="0"/>
        <w:jc w:val="center"/>
        <w:rPr>
          <w:rFonts w:ascii="方正黑体_GBK" w:eastAsia="方正黑体_GBK" w:hint="eastAsia"/>
          <w:sz w:val="32"/>
          <w:szCs w:val="32"/>
        </w:rPr>
      </w:pPr>
      <w:r w:rsidRPr="001B59B4">
        <w:rPr>
          <w:rFonts w:ascii="方正黑体_GBK" w:eastAsia="方正黑体_GBK" w:hint="eastAsia"/>
          <w:sz w:val="32"/>
          <w:szCs w:val="32"/>
        </w:rPr>
        <w:t>第五章  退费办法</w:t>
      </w:r>
    </w:p>
    <w:p w:rsidR="007E7771" w:rsidRPr="00160687" w:rsidRDefault="007E7771" w:rsidP="007E7771">
      <w:pPr>
        <w:pStyle w:val="a5"/>
        <w:spacing w:line="440" w:lineRule="exact"/>
        <w:ind w:leftChars="0" w:left="0" w:firstLineChars="200" w:firstLine="640"/>
        <w:rPr>
          <w:rFonts w:ascii="仿宋_GB2312" w:eastAsia="仿宋_GB2312" w:hint="eastAsia"/>
          <w:sz w:val="32"/>
          <w:szCs w:val="32"/>
        </w:rPr>
      </w:pPr>
      <w:r w:rsidRPr="00160687">
        <w:rPr>
          <w:rFonts w:ascii="仿宋_GB2312" w:eastAsia="仿宋_GB2312" w:hint="eastAsia"/>
          <w:sz w:val="32"/>
          <w:szCs w:val="32"/>
        </w:rPr>
        <w:t>第二十条  学生因退学、开除、转学等原因终止学业，根据学期开学时间与上述情况认定时间，以月为单位计算实际学习时间占学期全程学习时间的比例，折算与退回学生的学分学费。超过半月的按一个月计，不足半月的当月不计。</w:t>
      </w:r>
    </w:p>
    <w:p w:rsidR="007E7771" w:rsidRPr="00160687" w:rsidRDefault="007E7771" w:rsidP="007E7771">
      <w:pPr>
        <w:pStyle w:val="a5"/>
        <w:spacing w:line="440" w:lineRule="exact"/>
        <w:ind w:leftChars="0" w:left="0" w:firstLineChars="200" w:firstLine="640"/>
        <w:rPr>
          <w:rFonts w:ascii="仿宋_GB2312" w:eastAsia="仿宋_GB2312" w:hint="eastAsia"/>
          <w:sz w:val="32"/>
          <w:szCs w:val="32"/>
        </w:rPr>
      </w:pPr>
      <w:r w:rsidRPr="00160687">
        <w:rPr>
          <w:rFonts w:ascii="仿宋_GB2312" w:eastAsia="仿宋_GB2312" w:hint="eastAsia"/>
          <w:sz w:val="32"/>
          <w:szCs w:val="32"/>
        </w:rPr>
        <w:t>第二十一条  学生休学期间不收取学费。休学前已交学分学费，但未参加相应课程学习的，有关学分学费不退，学生复学后继续学习相应课程。</w:t>
      </w:r>
    </w:p>
    <w:p w:rsidR="007E7771" w:rsidRPr="001B59B4" w:rsidRDefault="007E7771" w:rsidP="007E7771">
      <w:pPr>
        <w:jc w:val="center"/>
        <w:rPr>
          <w:rFonts w:ascii="方正黑体_GBK" w:eastAsia="方正黑体_GBK" w:hint="eastAsia"/>
          <w:sz w:val="32"/>
          <w:szCs w:val="32"/>
        </w:rPr>
      </w:pPr>
      <w:r w:rsidRPr="001B59B4">
        <w:rPr>
          <w:rFonts w:ascii="方正黑体_GBK" w:eastAsia="方正黑体_GBK" w:hint="eastAsia"/>
          <w:sz w:val="32"/>
          <w:szCs w:val="32"/>
        </w:rPr>
        <w:t>第六章  其它</w:t>
      </w:r>
    </w:p>
    <w:p w:rsidR="007E7771" w:rsidRPr="00160687" w:rsidRDefault="007E7771" w:rsidP="007E7771">
      <w:pPr>
        <w:pStyle w:val="a5"/>
        <w:spacing w:line="440" w:lineRule="exact"/>
        <w:ind w:leftChars="0" w:left="0" w:firstLineChars="200" w:firstLine="640"/>
        <w:rPr>
          <w:rFonts w:ascii="仿宋_GB2312" w:eastAsia="仿宋_GB2312" w:hint="eastAsia"/>
          <w:sz w:val="32"/>
          <w:szCs w:val="32"/>
        </w:rPr>
      </w:pPr>
      <w:r w:rsidRPr="00160687">
        <w:rPr>
          <w:rFonts w:ascii="仿宋_GB2312" w:eastAsia="仿宋_GB2312" w:hint="eastAsia"/>
          <w:sz w:val="32"/>
          <w:szCs w:val="32"/>
        </w:rPr>
        <w:t>第二十二条  本办法仅适用于学费管理。学费以外项目的收费管理按有关规定执行。</w:t>
      </w:r>
    </w:p>
    <w:p w:rsidR="007E7771" w:rsidRDefault="007E7771" w:rsidP="007E7771">
      <w:pPr>
        <w:pStyle w:val="a5"/>
        <w:spacing w:line="440" w:lineRule="exact"/>
        <w:ind w:leftChars="0" w:left="0" w:firstLineChars="200" w:firstLine="640"/>
        <w:rPr>
          <w:rFonts w:ascii="仿宋_GB2312" w:eastAsia="仿宋_GB2312" w:hint="eastAsia"/>
          <w:sz w:val="32"/>
          <w:szCs w:val="32"/>
        </w:rPr>
      </w:pPr>
      <w:r w:rsidRPr="00160687">
        <w:rPr>
          <w:rFonts w:ascii="仿宋_GB2312" w:eastAsia="仿宋_GB2312" w:hint="eastAsia"/>
          <w:sz w:val="32"/>
          <w:szCs w:val="32"/>
        </w:rPr>
        <w:t>第二十三条  本办法从2009级学生的第二学年起执行。2008级及以前学生按老办法执行。</w:t>
      </w:r>
    </w:p>
    <w:p w:rsidR="007E7771" w:rsidRPr="00160687" w:rsidRDefault="007E7771" w:rsidP="007E7771">
      <w:pPr>
        <w:pStyle w:val="a5"/>
        <w:spacing w:line="440" w:lineRule="exact"/>
        <w:ind w:leftChars="0" w:left="0" w:firstLineChars="200" w:firstLine="640"/>
        <w:rPr>
          <w:rFonts w:ascii="仿宋_GB2312" w:eastAsia="仿宋_GB2312" w:hint="eastAsia"/>
          <w:sz w:val="32"/>
          <w:szCs w:val="32"/>
        </w:rPr>
      </w:pPr>
      <w:r w:rsidRPr="00160687">
        <w:rPr>
          <w:rFonts w:ascii="仿宋_GB2312" w:eastAsia="仿宋_GB2312" w:hint="eastAsia"/>
          <w:sz w:val="32"/>
          <w:szCs w:val="32"/>
        </w:rPr>
        <w:t>第二十四条  本办法由教务处、财务处负责解释。</w:t>
      </w: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rPr>
          <w:rFonts w:ascii="仿宋_GB2312" w:eastAsia="仿宋_GB2312" w:hint="eastAsia"/>
          <w:sz w:val="32"/>
          <w:szCs w:val="32"/>
        </w:rPr>
      </w:pPr>
    </w:p>
    <w:p w:rsidR="007E7771" w:rsidRDefault="007E7771" w:rsidP="007E7771">
      <w:pPr>
        <w:spacing w:line="600" w:lineRule="exact"/>
        <w:jc w:val="center"/>
        <w:rPr>
          <w:rFonts w:ascii="方正小标宋_GBK" w:eastAsia="方正小标宋_GBK" w:hint="eastAsia"/>
          <w:sz w:val="44"/>
          <w:szCs w:val="44"/>
        </w:rPr>
      </w:pPr>
      <w:r w:rsidRPr="00160687">
        <w:rPr>
          <w:rFonts w:ascii="方正小标宋_GBK" w:eastAsia="方正小标宋_GBK" w:hint="eastAsia"/>
          <w:sz w:val="44"/>
          <w:szCs w:val="44"/>
        </w:rPr>
        <w:t>昆明理工大学学分制选课管理试行办法</w:t>
      </w:r>
    </w:p>
    <w:p w:rsidR="007E7771" w:rsidRDefault="007E7771" w:rsidP="007E7771">
      <w:pPr>
        <w:spacing w:line="600" w:lineRule="exact"/>
        <w:jc w:val="center"/>
        <w:rPr>
          <w:rFonts w:ascii="方正小标宋_GBK" w:eastAsia="方正小标宋_GBK" w:hint="eastAsia"/>
          <w:sz w:val="44"/>
          <w:szCs w:val="44"/>
        </w:rPr>
      </w:pPr>
    </w:p>
    <w:p w:rsidR="007E7771" w:rsidRPr="00160687" w:rsidRDefault="007E7771" w:rsidP="007E7771">
      <w:pPr>
        <w:spacing w:line="440" w:lineRule="exact"/>
        <w:ind w:firstLineChars="200" w:firstLine="640"/>
        <w:rPr>
          <w:rFonts w:ascii="仿宋_GB2312" w:eastAsia="仿宋_GB2312" w:hAnsi="宋体" w:hint="eastAsia"/>
          <w:sz w:val="32"/>
          <w:szCs w:val="32"/>
        </w:rPr>
      </w:pPr>
      <w:r w:rsidRPr="00160687">
        <w:rPr>
          <w:rFonts w:ascii="仿宋_GB2312" w:eastAsia="仿宋_GB2312" w:hAnsi="宋体" w:hint="eastAsia"/>
          <w:sz w:val="32"/>
          <w:szCs w:val="32"/>
        </w:rPr>
        <w:t>选课工作是学分制教学管理的核心。为规范选课，增强选课工作的科学性与可操作性，提高选课工作效率，特制定本试行办法。</w:t>
      </w:r>
    </w:p>
    <w:p w:rsidR="007E7771" w:rsidRPr="001B59B4" w:rsidRDefault="007E7771" w:rsidP="007E7771">
      <w:pPr>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第一章  选课形式</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第一条  选师制。凡必修课，包括授课面较广，涉及多专业共同学习、须安排二位以上教师承担教学任务；授课面小，只须安排一位教师承担教学任务的课程，都必须安排有二位以上的教师提供学生选择。</w:t>
      </w:r>
    </w:p>
    <w:p w:rsidR="007E777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第二条  选课制。对文化素质教育课、专业选修课或以专业方向提供的模块课组、本专业培养方案以外课程或课程组，学生可根据个人兴趣爱好自由选择。</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第三条  选时制。学生可在弹性学制内，在导师指导下，制定个人学业规划。在不违反课程先行后续要求的前提下，自主选择课程的学习时间。</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第四条  实验教学开放制。创造条件，积极推进各实验教学开放教学时间、开放教学内容，学生根据个人学习安排，网上预约实验项目与时间。</w:t>
      </w:r>
    </w:p>
    <w:p w:rsidR="007E7771" w:rsidRPr="001B59B4" w:rsidRDefault="007E7771" w:rsidP="007E7771">
      <w:pPr>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第二章  选课与导师制</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第五条  各学院建立学业指导小组，明确分管领导、专业导师、辅导员、教务管理人员等的职责。建立导师制工作体系与规章制度，加强对学生选课工作的指导。</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第六条  导师要指导学生拟定个人学业计划、学习进程与选课方案。导师应在选课前对学生选课进行指导，形成指导意见，要对学生每学期选课的结果进行审查与确认。</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第七条  建设学生学业档案管理系统，实现对学生学业进程的动态管理。通过信息化建设，加强导师制各项工作的科学性与可操作性，提高管理效率。</w:t>
      </w:r>
    </w:p>
    <w:p w:rsidR="007E7771" w:rsidRPr="001B59B4" w:rsidRDefault="007E7771" w:rsidP="007E7771">
      <w:pPr>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第三章  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第八条  一年级选课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6F5621">
        <w:rPr>
          <w:rFonts w:ascii="仿宋_GB2312" w:eastAsia="仿宋_GB2312" w:hAnsi="宋体" w:hint="eastAsia"/>
          <w:sz w:val="32"/>
          <w:szCs w:val="32"/>
        </w:rPr>
        <w:t>各学院在新生入学教育期间对新生进行选课程序与要求等的学习培训。学生须通过学习培训，了解上网操作的流程、时间安排等。学院要根据选课通知安排专人组织与指导学生上网选课。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6F5621">
        <w:rPr>
          <w:rFonts w:ascii="仿宋_GB2312" w:eastAsia="仿宋_GB2312" w:hAnsi="宋体" w:hint="eastAsia"/>
          <w:sz w:val="32"/>
          <w:szCs w:val="32"/>
        </w:rPr>
        <w:t>为加强因材施教，提高教学质量，学校在新生入学教育期间组织新生开展大学英语等科目的分级考试。学生须按考试成绩所确定的教学类别进行选课。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sidRPr="006F5621">
        <w:rPr>
          <w:rFonts w:ascii="仿宋_GB2312" w:eastAsia="仿宋_GB2312" w:hAnsi="宋体" w:hint="eastAsia"/>
          <w:sz w:val="32"/>
          <w:szCs w:val="32"/>
        </w:rPr>
        <w:t>新生到校报到时按学年制交费标准预交第一学年的学费，参加二次选课。第一次为入学教育期间参加第一学年上学期选课；第二次为第一学年上学期期中参加第一学年下学期选课。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w:t>
      </w:r>
      <w:r w:rsidRPr="006F5621">
        <w:rPr>
          <w:rFonts w:ascii="仿宋_GB2312" w:eastAsia="仿宋_GB2312" w:hAnsi="宋体" w:hint="eastAsia"/>
          <w:sz w:val="32"/>
          <w:szCs w:val="32"/>
        </w:rPr>
        <w:t>学生在第一学年下学期期中选课后，须进入教学管理系统查询个人第一学年选课的总学分数、学分学费总额。若选课产生的学分学费总额已超出预交的一年学费，说明已欠费。欠费学生应在该学期放假前将欠费与新增学费一并交纳。</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第九条  高年级选课</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6F5621">
        <w:rPr>
          <w:rFonts w:ascii="仿宋_GB2312" w:eastAsia="仿宋_GB2312" w:hAnsi="宋体" w:hint="eastAsia"/>
          <w:sz w:val="32"/>
          <w:szCs w:val="32"/>
        </w:rPr>
        <w:t>高年级选课从第一学年下学期期中开始，学生须完成每学期期中对下一学期高年级课程的选课工作。</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6F5621">
        <w:rPr>
          <w:rFonts w:ascii="仿宋_GB2312" w:eastAsia="仿宋_GB2312" w:hAnsi="宋体" w:hint="eastAsia"/>
          <w:sz w:val="32"/>
          <w:szCs w:val="32"/>
        </w:rPr>
        <w:t>学生从第一学年下学期期中选课开始，可通过网上选课及时得知个人选课结果与学分学费总额。学生须在规定的时间内在学校指定的银行卡中存入足额的学分学费，由银行等额代扣。</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sidRPr="006F5621">
        <w:rPr>
          <w:rFonts w:ascii="仿宋_GB2312" w:eastAsia="仿宋_GB2312" w:hAnsi="宋体" w:hint="eastAsia"/>
          <w:sz w:val="32"/>
          <w:szCs w:val="32"/>
        </w:rPr>
        <w:t>按时交纳学分学费的学生在第二学年上学期返校注册时，将收到学校统一下发的交费单据。教学管理系统对学生交费情况进行管理，凡按选课结果足额交纳学分学费的学生，可网上注册。如欠费，系统将不予注册。</w:t>
      </w:r>
    </w:p>
    <w:p w:rsidR="007E7771" w:rsidRPr="006F56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w:t>
      </w:r>
      <w:r w:rsidRPr="006F5621">
        <w:rPr>
          <w:rFonts w:ascii="仿宋_GB2312" w:eastAsia="仿宋_GB2312" w:hAnsi="宋体" w:hint="eastAsia"/>
          <w:sz w:val="32"/>
          <w:szCs w:val="32"/>
        </w:rPr>
        <w:t>学生在第二学年上学期期中的选课中，凡有欠费情况的，均不能选课。</w:t>
      </w:r>
    </w:p>
    <w:p w:rsidR="007E7771" w:rsidRPr="00944E42" w:rsidRDefault="007E7771" w:rsidP="007E7771">
      <w:pPr>
        <w:spacing w:line="440" w:lineRule="exact"/>
        <w:ind w:firstLineChars="200" w:firstLine="640"/>
        <w:rPr>
          <w:rFonts w:ascii="宋体" w:hAnsi="宋体" w:hint="eastAsia"/>
          <w:sz w:val="24"/>
        </w:rPr>
      </w:pPr>
      <w:r w:rsidRPr="006F5621">
        <w:rPr>
          <w:rFonts w:ascii="仿宋_GB2312" w:eastAsia="仿宋_GB2312" w:hAnsi="宋体" w:hint="eastAsia"/>
          <w:sz w:val="32"/>
          <w:szCs w:val="32"/>
        </w:rPr>
        <w:t>第十条  由于家庭经济困难不能按时缴纳学分学费的学生，须按有关规定办理相关手续，获得批准后可参加选课与注册。</w:t>
      </w:r>
    </w:p>
    <w:p w:rsidR="007E7771" w:rsidRPr="001B59B4" w:rsidRDefault="007E7771" w:rsidP="007E7771">
      <w:pPr>
        <w:tabs>
          <w:tab w:val="left" w:pos="4060"/>
        </w:tabs>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第四章  选课与课堂管理</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第十一条  学生通过选课形成个人课表，按个人课表注明的课程、时间、地点上课。教师根据学生选课名单进行课堂教学管理与平时成绩登记。</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第十二条  学生只有通过选课进入学生选课名单，才能参加课程学习。为保证选课学生的权利，教师应劝离选课名单中没有登记、私自听课的学生。</w:t>
      </w:r>
    </w:p>
    <w:p w:rsidR="007E7771" w:rsidRPr="006F5621" w:rsidRDefault="007E7771" w:rsidP="007E7771">
      <w:pPr>
        <w:spacing w:line="440" w:lineRule="exact"/>
        <w:ind w:firstLineChars="200" w:firstLine="640"/>
        <w:rPr>
          <w:rFonts w:ascii="仿宋_GB2312" w:eastAsia="仿宋_GB2312" w:hAnsi="宋体" w:hint="eastAsia"/>
          <w:sz w:val="32"/>
          <w:szCs w:val="32"/>
        </w:rPr>
      </w:pPr>
      <w:r w:rsidRPr="006F5621">
        <w:rPr>
          <w:rFonts w:ascii="仿宋_GB2312" w:eastAsia="仿宋_GB2312" w:hAnsi="宋体" w:hint="eastAsia"/>
          <w:sz w:val="32"/>
          <w:szCs w:val="32"/>
        </w:rPr>
        <w:t>第十三条  学生必须按选课确定的教师、时间与地点听课。教师应根据学生选课名单开展教学管理、加强课堂考勤与平时成绩的记录。对无故缺课等违反教学纪律的行为，根据学校相关规定及时上报处理。</w:t>
      </w:r>
    </w:p>
    <w:p w:rsidR="007E7771" w:rsidRPr="001B59B4" w:rsidRDefault="007E7771" w:rsidP="007E7771">
      <w:pPr>
        <w:tabs>
          <w:tab w:val="left" w:pos="4060"/>
        </w:tabs>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第五章  选课、考试与成绩管理</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第十四条  教务处按学生选课形成的课堂教学名单安排考场与考试，学生必须按指定的时间地点参加考试。</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第十五条  凡选课名单中无登记的学生，如有参加考试的，其成绩无效，不能在教学管理系统中进行登记。</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第十六条  学生通过选课确定学习课程与交纳学分学费，课程一经选定一律不能变更。无论是必修课还是选修课，必须参加课程学习与考核，学习成绩记入学生成绩档案。</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第十七条  学生选定课程后，除退学、转学等原因中途停止课程学习，按相关规定办理停课与退费手续外，自动退出课程学习者，有关课程学分学费不退，成绩按“0”记入成绩档案。</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第十八条  学生选课并交纳学分学费后，参加期末考试成绩合格者，成绩记入成绩档案，不得参加补考；期末考试成绩不及格者，给予一次补考，以期末考试、补考中的最高成绩记入成绩档案。</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第十九条  必修课期末考试、补考成绩均不及格者，学生须提出申请、交纳学分学费后，重新选修该课程，按三类学分交费。任选课期末考试、补考成绩均不及格者，可重新学习该课程，按三类学分交费；也可选修其它任选课程，按一类学分单价交费。</w:t>
      </w:r>
    </w:p>
    <w:p w:rsidR="007E7771" w:rsidRPr="001B59B4" w:rsidRDefault="007E7771" w:rsidP="007E7771">
      <w:pPr>
        <w:tabs>
          <w:tab w:val="left" w:pos="4060"/>
        </w:tabs>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第六章  选课与教学组织</w:t>
      </w:r>
    </w:p>
    <w:p w:rsidR="007E777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第二十条  学校制定学分制选课教师教学工作质量考核试行办法，结合选课情况，对教师教学业绩、课堂开班人数、津贴等进行明确规定。实行选课人数与津贴、奖励、职称评定等挂钩制度。</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第二十一条  各学院根据各自实际，确定选课人数的上限与下限。选课人数达到或超过下限规定的，准予开课。选课人数未达到下限规定的课程予以取消。学生须在准予开课的课程中重选。</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第二十二条  专业选修课必须按至少1.5：1提供学生选课。学生须完成专业培养方案规定的专业任选课学习，取得相应学分。学生可超出规定的任选课学分数，自愿选修更多的任选课学分，按二类学分单价交纳多学课程的学费。</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第二十三条  各专业可根据本科培养方案及学分要求，设置专业方向课程组，学生选定专业方向即选定相应课程组的各门课程。鼓励有条件的学院在专业方向课程组中按至少1.5：1设置课程，提供学生选专业方向后再选课。</w:t>
      </w:r>
    </w:p>
    <w:p w:rsidR="007E7771" w:rsidRPr="001B59B4" w:rsidRDefault="007E7771" w:rsidP="007E7771">
      <w:pPr>
        <w:tabs>
          <w:tab w:val="left" w:pos="4060"/>
        </w:tabs>
        <w:spacing w:line="600" w:lineRule="exact"/>
        <w:jc w:val="center"/>
        <w:rPr>
          <w:rFonts w:ascii="方正黑体_GBK" w:eastAsia="方正黑体_GBK" w:hint="eastAsia"/>
          <w:sz w:val="32"/>
          <w:szCs w:val="32"/>
        </w:rPr>
      </w:pPr>
      <w:r w:rsidRPr="001B59B4">
        <w:rPr>
          <w:rFonts w:ascii="方正黑体_GBK" w:eastAsia="方正黑体_GBK" w:hint="eastAsia"/>
          <w:sz w:val="32"/>
          <w:szCs w:val="32"/>
        </w:rPr>
        <w:t>第七章  其它</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第二十四条  以上未涉及事项按相关管理规定办理。</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第二十五条  本办法从2009级第二学年起执行。</w:t>
      </w: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第二十六条  本办法由教务处负责解释</w:t>
      </w: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ind w:firstLineChars="200" w:firstLine="640"/>
        <w:rPr>
          <w:rFonts w:ascii="仿宋_GB2312" w:eastAsia="仿宋_GB2312" w:hAnsi="宋体" w:hint="eastAsia"/>
          <w:sz w:val="32"/>
          <w:szCs w:val="32"/>
        </w:rPr>
      </w:pPr>
    </w:p>
    <w:p w:rsidR="007E7771" w:rsidRDefault="007E7771" w:rsidP="007E7771">
      <w:pPr>
        <w:tabs>
          <w:tab w:val="left" w:pos="4060"/>
        </w:tabs>
        <w:spacing w:line="600" w:lineRule="exact"/>
        <w:jc w:val="center"/>
        <w:rPr>
          <w:rFonts w:ascii="方正小标宋_GBK" w:eastAsia="方正小标宋_GBK" w:hint="eastAsia"/>
          <w:sz w:val="44"/>
          <w:szCs w:val="44"/>
        </w:rPr>
      </w:pPr>
      <w:r w:rsidRPr="009C0321">
        <w:rPr>
          <w:rFonts w:ascii="方正小标宋_GBK" w:eastAsia="方正小标宋_GBK" w:hint="eastAsia"/>
          <w:sz w:val="44"/>
          <w:szCs w:val="44"/>
        </w:rPr>
        <w:t>昆明理工大学学分制学业指导小组工作条例</w:t>
      </w:r>
    </w:p>
    <w:p w:rsidR="007E7771" w:rsidRPr="007E7771" w:rsidRDefault="007E7771" w:rsidP="007E7771">
      <w:pPr>
        <w:spacing w:line="440" w:lineRule="exact"/>
        <w:jc w:val="center"/>
        <w:rPr>
          <w:rFonts w:ascii="仿宋_GB2312" w:eastAsia="仿宋_GB2312" w:hAnsi="宋体" w:hint="eastAsia"/>
          <w:sz w:val="32"/>
          <w:szCs w:val="32"/>
        </w:rPr>
      </w:pPr>
      <w:r w:rsidRPr="007E7771">
        <w:rPr>
          <w:rFonts w:ascii="仿宋_GB2312" w:eastAsia="仿宋_GB2312" w:hAnsi="宋体" w:hint="eastAsia"/>
          <w:sz w:val="32"/>
          <w:szCs w:val="32"/>
        </w:rPr>
        <w:t>（试行）</w:t>
      </w:r>
    </w:p>
    <w:p w:rsidR="007E7771" w:rsidRDefault="007E7771" w:rsidP="007E7771">
      <w:pPr>
        <w:tabs>
          <w:tab w:val="left" w:pos="4060"/>
        </w:tabs>
        <w:spacing w:line="240" w:lineRule="exact"/>
        <w:ind w:firstLineChars="200" w:firstLine="880"/>
        <w:jc w:val="center"/>
        <w:rPr>
          <w:rFonts w:ascii="方正小标宋_GBK" w:eastAsia="方正小标宋_GBK" w:hint="eastAsia"/>
          <w:sz w:val="44"/>
          <w:szCs w:val="44"/>
        </w:rPr>
      </w:pPr>
    </w:p>
    <w:p w:rsidR="007E777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为进一步深化学分制改革，实行因材施教，推动学风建设，促进学生德、智、体、美诸方面得到全面发展，特制定本工作条例。</w:t>
      </w:r>
    </w:p>
    <w:p w:rsidR="007E7771" w:rsidRPr="001B59B4" w:rsidRDefault="007E7771" w:rsidP="007E7771">
      <w:pPr>
        <w:spacing w:line="440" w:lineRule="exact"/>
        <w:jc w:val="center"/>
        <w:rPr>
          <w:rFonts w:ascii="方正黑体_GBK" w:eastAsia="方正黑体_GBK" w:hint="eastAsia"/>
          <w:sz w:val="32"/>
          <w:szCs w:val="32"/>
        </w:rPr>
      </w:pPr>
      <w:r w:rsidRPr="001B59B4">
        <w:rPr>
          <w:rFonts w:ascii="方正黑体_GBK" w:eastAsia="方正黑体_GBK" w:hint="eastAsia"/>
          <w:sz w:val="32"/>
          <w:szCs w:val="32"/>
        </w:rPr>
        <w:t>第一章  学业指导小组</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第一条  成立校、院两级学分制学业指导小组，负责学生学业指导工作。</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第二条  校级学业指导小组由教务处处长任组长，教务处副处长、各教学单位分管教学副院长（副主任）任组员。</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第三条  院级学业指导小组由主管教学副院长任组长，专业导师、辅导员、教务员、高年级学生代表任组员。</w:t>
      </w:r>
    </w:p>
    <w:p w:rsidR="007E7771" w:rsidRPr="001B59B4" w:rsidRDefault="007E7771" w:rsidP="007E7771">
      <w:pPr>
        <w:spacing w:line="440" w:lineRule="exact"/>
        <w:jc w:val="center"/>
        <w:rPr>
          <w:rFonts w:ascii="方正黑体_GBK" w:eastAsia="方正黑体_GBK" w:hAnsi="宋体" w:hint="eastAsia"/>
          <w:sz w:val="32"/>
          <w:szCs w:val="32"/>
        </w:rPr>
      </w:pPr>
      <w:r w:rsidRPr="001B59B4">
        <w:rPr>
          <w:rFonts w:ascii="方正黑体_GBK" w:eastAsia="方正黑体_GBK" w:hAnsi="宋体" w:hint="eastAsia"/>
          <w:sz w:val="32"/>
          <w:szCs w:val="32"/>
        </w:rPr>
        <w:t>第二章  学业指导小组职责</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第四条  校级学业指导小组负责研究、制定学分制管理规章制度，对重大问题进行决策，组织院级学业指导小组开展学习培训、开展学分制选课等工作。</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第五条  院级学业指导小组要熟悉学分制教学管理、学生管理等各方面的规章制度，具体指导学生完成学业。</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9C0321">
        <w:rPr>
          <w:rFonts w:ascii="仿宋_GB2312" w:eastAsia="仿宋_GB2312" w:hAnsi="宋体" w:hint="eastAsia"/>
          <w:sz w:val="32"/>
          <w:szCs w:val="32"/>
        </w:rPr>
        <w:t>掌握本专业本科培养方案，了解专业课程知识结构及各课程在培养体系中的地位及作用，课程的先行后续等。指导学生制定个人学业计划，督促学生选课、学习等。</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9C0321">
        <w:rPr>
          <w:rFonts w:ascii="仿宋_GB2312" w:eastAsia="仿宋_GB2312" w:hAnsi="宋体" w:hint="eastAsia"/>
          <w:sz w:val="32"/>
          <w:szCs w:val="32"/>
        </w:rPr>
        <w:t>建立学生学业管理档案，了解学生课程考试的成绩，掌握每个学生的学习情况和学习能力。对学习困难学生重点给予指导。</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sidRPr="009C0321">
        <w:rPr>
          <w:rFonts w:ascii="仿宋_GB2312" w:eastAsia="仿宋_GB2312" w:hAnsi="宋体" w:hint="eastAsia"/>
          <w:sz w:val="32"/>
          <w:szCs w:val="32"/>
        </w:rPr>
        <w:t>审阅学生下一学期的选课单，特别对多选课程、少选课程、重新学习课程、修读双学位、双专业等的学生，重点加强指导，帮助学生拟定合理的学习计划，并在学生选课单上签字。</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w:t>
      </w:r>
      <w:r w:rsidRPr="009C0321">
        <w:rPr>
          <w:rFonts w:ascii="仿宋_GB2312" w:eastAsia="仿宋_GB2312" w:hAnsi="宋体" w:hint="eastAsia"/>
          <w:sz w:val="32"/>
          <w:szCs w:val="32"/>
        </w:rPr>
        <w:t>加强专业教育，帮助学生端正专业思想。通过专业介绍、学科发展、专业在社会经济发展中的作用等宣传学习，帮助学生了解专业、热爱专业，加强专业学习的主动性与自觉性。</w:t>
      </w:r>
    </w:p>
    <w:p w:rsidR="007E7771" w:rsidRPr="009C0321" w:rsidRDefault="007E7771" w:rsidP="007E7771">
      <w:pPr>
        <w:spacing w:line="440" w:lineRule="exact"/>
        <w:ind w:firstLineChars="200" w:firstLine="640"/>
        <w:rPr>
          <w:rFonts w:ascii="仿宋_GB2312" w:eastAsia="仿宋_GB2312" w:hAnsi="宋体" w:hint="eastAsia"/>
          <w:sz w:val="32"/>
          <w:szCs w:val="32"/>
        </w:rPr>
      </w:pPr>
      <w:r w:rsidRPr="009C0321">
        <w:rPr>
          <w:rFonts w:ascii="仿宋_GB2312" w:eastAsia="仿宋_GB2312" w:hAnsi="宋体" w:hint="eastAsia"/>
          <w:sz w:val="32"/>
          <w:szCs w:val="32"/>
        </w:rPr>
        <w:t>第六条  院级学业指导小组实行重大问题集体研究、专业导师具体负责、成员分工协作的工作制度。</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9C0321">
        <w:rPr>
          <w:rFonts w:ascii="仿宋_GB2312" w:eastAsia="仿宋_GB2312" w:hAnsi="宋体" w:hint="eastAsia"/>
          <w:sz w:val="32"/>
          <w:szCs w:val="32"/>
        </w:rPr>
        <w:t>组长（教学副院长）负责组织开展本单位学分制管理工作，领导小组成员具体落实各项工作。</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9C0321">
        <w:rPr>
          <w:rFonts w:ascii="仿宋_GB2312" w:eastAsia="仿宋_GB2312" w:hAnsi="宋体" w:hint="eastAsia"/>
          <w:sz w:val="32"/>
          <w:szCs w:val="32"/>
        </w:rPr>
        <w:t>专业导师负责指导学生拟定学业计划、学习进程与选课安排；帮助学生端正专业思想，加强专业学习的主动性与自觉性；指导学生了解学科前沿知识，加强实践锻炼；组织学生参与科研与训练等。</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sidRPr="009C0321">
        <w:rPr>
          <w:rFonts w:ascii="仿宋_GB2312" w:eastAsia="仿宋_GB2312" w:hAnsi="宋体" w:hint="eastAsia"/>
          <w:sz w:val="32"/>
          <w:szCs w:val="32"/>
        </w:rPr>
        <w:t>教务员负责学生成绩管理，运用学分制教学管理系统，做好学生学业档案管理，协助学业指导小组开展学生选课等工作。</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w:t>
      </w:r>
      <w:r w:rsidRPr="009C0321">
        <w:rPr>
          <w:rFonts w:ascii="仿宋_GB2312" w:eastAsia="仿宋_GB2312" w:hAnsi="宋体" w:hint="eastAsia"/>
          <w:sz w:val="32"/>
          <w:szCs w:val="32"/>
        </w:rPr>
        <w:t>辅导员负责学生思想政治工作，协助学业指导小组做好通知、组织学习等工作，配合专业导师做好学生选课指导、专业思想教育等。</w:t>
      </w:r>
    </w:p>
    <w:p w:rsidR="007E7771" w:rsidRPr="009C0321" w:rsidRDefault="007E7771" w:rsidP="007E7771">
      <w:pPr>
        <w:spacing w:line="44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（五）</w:t>
      </w:r>
      <w:r w:rsidRPr="009C0321">
        <w:rPr>
          <w:rFonts w:ascii="仿宋_GB2312" w:eastAsia="仿宋_GB2312" w:hAnsi="宋体" w:hint="eastAsia"/>
          <w:sz w:val="32"/>
          <w:szCs w:val="32"/>
        </w:rPr>
        <w:t>高年级学生代表协助学院学业指导小组，帮助学生开展选课等工作。</w:t>
      </w:r>
    </w:p>
    <w:p w:rsidR="007E7771" w:rsidRPr="001B59B4" w:rsidRDefault="007E7771" w:rsidP="007E7771">
      <w:pPr>
        <w:spacing w:line="440" w:lineRule="exact"/>
        <w:jc w:val="center"/>
        <w:rPr>
          <w:rFonts w:ascii="方正黑体_GBK" w:eastAsia="方正黑体_GBK" w:hAnsi="宋体" w:hint="eastAsia"/>
          <w:sz w:val="32"/>
          <w:szCs w:val="32"/>
        </w:rPr>
      </w:pPr>
      <w:r w:rsidRPr="001B59B4">
        <w:rPr>
          <w:rFonts w:ascii="方正黑体_GBK" w:eastAsia="方正黑体_GBK" w:hAnsi="宋体" w:hint="eastAsia"/>
          <w:sz w:val="32"/>
          <w:szCs w:val="32"/>
        </w:rPr>
        <w:t>第三章  专业导师的管理</w:t>
      </w:r>
    </w:p>
    <w:p w:rsidR="007E7771" w:rsidRPr="00F97D13" w:rsidRDefault="007E7771" w:rsidP="007E7771">
      <w:pPr>
        <w:spacing w:line="440" w:lineRule="exact"/>
        <w:ind w:firstLineChars="200" w:firstLine="640"/>
        <w:rPr>
          <w:rFonts w:ascii="仿宋_GB2312" w:eastAsia="仿宋_GB2312" w:hAnsi="宋体" w:hint="eastAsia"/>
          <w:sz w:val="32"/>
          <w:szCs w:val="32"/>
        </w:rPr>
      </w:pPr>
      <w:r w:rsidRPr="00F97D13">
        <w:rPr>
          <w:rFonts w:ascii="仿宋_GB2312" w:eastAsia="仿宋_GB2312" w:hAnsi="宋体" w:hint="eastAsia"/>
          <w:sz w:val="32"/>
          <w:szCs w:val="32"/>
        </w:rPr>
        <w:t>第七条  各学院要为每一名学生配置专业导师。1名导师原则上安排的学生人数不能超过30人。鼓励学院开展选师制，创造条件，开展学生选择导师的工作。</w:t>
      </w:r>
    </w:p>
    <w:p w:rsidR="007E7771" w:rsidRPr="00F97D13" w:rsidRDefault="007E7771" w:rsidP="007E7771">
      <w:pPr>
        <w:spacing w:line="440" w:lineRule="exact"/>
        <w:ind w:firstLineChars="200" w:firstLine="640"/>
        <w:rPr>
          <w:rFonts w:ascii="仿宋_GB2312" w:eastAsia="仿宋_GB2312" w:hAnsi="宋体" w:hint="eastAsia"/>
          <w:sz w:val="32"/>
          <w:szCs w:val="32"/>
        </w:rPr>
      </w:pPr>
      <w:r w:rsidRPr="00F97D13">
        <w:rPr>
          <w:rFonts w:ascii="仿宋_GB2312" w:eastAsia="仿宋_GB2312" w:hAnsi="宋体" w:hint="eastAsia"/>
          <w:sz w:val="32"/>
          <w:szCs w:val="32"/>
        </w:rPr>
        <w:t>第八条  专业导师工作按每学年40学时/人计教学工作量，并纳入教师每年的履职考核。</w:t>
      </w:r>
    </w:p>
    <w:p w:rsidR="007E7771" w:rsidRPr="00F97D13" w:rsidRDefault="007E7771" w:rsidP="007E7771">
      <w:pPr>
        <w:spacing w:line="440" w:lineRule="exact"/>
        <w:ind w:firstLineChars="200" w:firstLine="640"/>
        <w:rPr>
          <w:rFonts w:ascii="仿宋_GB2312" w:eastAsia="仿宋_GB2312" w:hAnsi="宋体" w:hint="eastAsia"/>
          <w:sz w:val="32"/>
          <w:szCs w:val="32"/>
        </w:rPr>
      </w:pPr>
      <w:r w:rsidRPr="00F97D13">
        <w:rPr>
          <w:rFonts w:ascii="仿宋_GB2312" w:eastAsia="仿宋_GB2312" w:hAnsi="宋体" w:hint="eastAsia"/>
          <w:sz w:val="32"/>
          <w:szCs w:val="32"/>
        </w:rPr>
        <w:t>第九条  学院定期讨论、研究学业指导小组的工作，通报信息、交流经验、研究问题，切实加强对专业导师工作的领导。</w:t>
      </w:r>
    </w:p>
    <w:p w:rsidR="007E7771" w:rsidRPr="001B59B4" w:rsidRDefault="007E7771" w:rsidP="007E7771">
      <w:pPr>
        <w:spacing w:line="440" w:lineRule="exact"/>
        <w:jc w:val="center"/>
        <w:rPr>
          <w:rFonts w:ascii="方正黑体_GBK" w:eastAsia="方正黑体_GBK" w:hAnsi="宋体" w:hint="eastAsia"/>
          <w:sz w:val="32"/>
          <w:szCs w:val="32"/>
        </w:rPr>
      </w:pPr>
      <w:r w:rsidRPr="001B59B4">
        <w:rPr>
          <w:rFonts w:ascii="方正黑体_GBK" w:eastAsia="方正黑体_GBK" w:hAnsi="宋体" w:hint="eastAsia"/>
          <w:sz w:val="32"/>
          <w:szCs w:val="32"/>
        </w:rPr>
        <w:t>第四章  其它</w:t>
      </w:r>
    </w:p>
    <w:p w:rsidR="007E7771" w:rsidRPr="00F97D13" w:rsidRDefault="007E7771" w:rsidP="007E7771">
      <w:pPr>
        <w:spacing w:line="440" w:lineRule="exact"/>
        <w:ind w:firstLineChars="200" w:firstLine="640"/>
        <w:rPr>
          <w:rFonts w:ascii="仿宋_GB2312" w:eastAsia="仿宋_GB2312" w:hAnsi="宋体" w:hint="eastAsia"/>
          <w:sz w:val="32"/>
          <w:szCs w:val="32"/>
        </w:rPr>
      </w:pPr>
      <w:r w:rsidRPr="00F97D13">
        <w:rPr>
          <w:rFonts w:ascii="仿宋_GB2312" w:eastAsia="仿宋_GB2312" w:hAnsi="宋体" w:hint="eastAsia"/>
          <w:sz w:val="32"/>
          <w:szCs w:val="32"/>
        </w:rPr>
        <w:t>第十条  本条例自2009级第二学年起实施。</w:t>
      </w:r>
    </w:p>
    <w:p w:rsidR="007E7771" w:rsidRDefault="007E7771" w:rsidP="007E7771">
      <w:pPr>
        <w:spacing w:line="440" w:lineRule="exact"/>
        <w:ind w:firstLineChars="200" w:firstLine="640"/>
        <w:rPr>
          <w:rFonts w:ascii="仿宋_GB2312" w:eastAsia="仿宋_GB2312" w:hAnsi="宋体" w:hint="eastAsia"/>
          <w:sz w:val="32"/>
          <w:szCs w:val="32"/>
        </w:rPr>
      </w:pPr>
      <w:r w:rsidRPr="00F97D13">
        <w:rPr>
          <w:rFonts w:ascii="仿宋_GB2312" w:eastAsia="仿宋_GB2312" w:hAnsi="宋体" w:hint="eastAsia"/>
          <w:sz w:val="32"/>
          <w:szCs w:val="32"/>
        </w:rPr>
        <w:t>第十一条  本条例由教务处负责解释。</w:t>
      </w:r>
    </w:p>
    <w:p w:rsidR="007E7771" w:rsidRDefault="007E7771" w:rsidP="007E7771">
      <w:pPr>
        <w:spacing w:line="440" w:lineRule="exact"/>
        <w:ind w:firstLineChars="200" w:firstLine="640"/>
        <w:rPr>
          <w:rFonts w:ascii="仿宋_GB2312" w:eastAsia="仿宋_GB2312" w:hAnsi="宋体" w:hint="eastAsia"/>
          <w:sz w:val="32"/>
          <w:szCs w:val="32"/>
        </w:rPr>
      </w:pPr>
    </w:p>
    <w:tbl>
      <w:tblPr>
        <w:tblW w:w="9180" w:type="dxa"/>
        <w:tblInd w:w="-72" w:type="dxa"/>
        <w:tblLook w:val="0000" w:firstRow="0" w:lastRow="0" w:firstColumn="0" w:lastColumn="0" w:noHBand="0" w:noVBand="0"/>
      </w:tblPr>
      <w:tblGrid>
        <w:gridCol w:w="1440"/>
        <w:gridCol w:w="3431"/>
        <w:gridCol w:w="169"/>
        <w:gridCol w:w="4140"/>
      </w:tblGrid>
      <w:tr w:rsidR="007E7771">
        <w:trPr>
          <w:trHeight w:val="567"/>
        </w:trPr>
        <w:tc>
          <w:tcPr>
            <w:tcW w:w="1440" w:type="dxa"/>
            <w:tcBorders>
              <w:top w:val="nil"/>
              <w:left w:val="nil"/>
              <w:bottom w:val="single" w:sz="4" w:space="0" w:color="000000"/>
              <w:right w:val="nil"/>
            </w:tcBorders>
            <w:vAlign w:val="center"/>
          </w:tcPr>
          <w:p w:rsidR="007E7771" w:rsidRDefault="007E7771" w:rsidP="007E7771">
            <w:pPr>
              <w:adjustRightInd w:val="0"/>
              <w:snapToGrid w:val="0"/>
              <w:spacing w:line="480" w:lineRule="exact"/>
              <w:rPr>
                <w:rFonts w:ascii="黑体" w:eastAsia="黑体" w:hAnsi="宋体"/>
                <w:sz w:val="32"/>
                <w:szCs w:val="32"/>
              </w:rPr>
            </w:pPr>
            <w:r>
              <w:rPr>
                <w:rFonts w:ascii="黑体" w:eastAsia="黑体" w:hAnsi="宋体" w:hint="eastAsia"/>
                <w:sz w:val="32"/>
                <w:szCs w:val="32"/>
              </w:rPr>
              <w:t>主题词：</w:t>
            </w:r>
          </w:p>
        </w:tc>
        <w:tc>
          <w:tcPr>
            <w:tcW w:w="7740" w:type="dxa"/>
            <w:gridSpan w:val="3"/>
            <w:tcBorders>
              <w:top w:val="nil"/>
              <w:left w:val="nil"/>
              <w:bottom w:val="single" w:sz="4" w:space="0" w:color="000000"/>
              <w:right w:val="nil"/>
            </w:tcBorders>
            <w:vAlign w:val="center"/>
          </w:tcPr>
          <w:p w:rsidR="007E7771" w:rsidRPr="00D67D44" w:rsidRDefault="007E7771" w:rsidP="007E7771">
            <w:pPr>
              <w:adjustRightInd w:val="0"/>
              <w:snapToGrid w:val="0"/>
              <w:spacing w:line="480" w:lineRule="exact"/>
              <w:rPr>
                <w:rFonts w:ascii="长城小标宋体" w:eastAsia="长城小标宋体" w:hAnsi="宋体" w:cs="宋体" w:hint="eastAsia"/>
                <w:sz w:val="32"/>
                <w:szCs w:val="32"/>
              </w:rPr>
            </w:pPr>
            <w:r>
              <w:rPr>
                <w:rFonts w:ascii="长城小标宋体" w:eastAsia="长城小标宋体" w:hAnsi="宋体" w:cs="宋体" w:hint="eastAsia"/>
                <w:sz w:val="32"/>
                <w:szCs w:val="32"/>
              </w:rPr>
              <w:t>教育  学分制  管理  通知</w:t>
            </w:r>
          </w:p>
        </w:tc>
      </w:tr>
      <w:tr w:rsidR="007E7771">
        <w:trPr>
          <w:trHeight w:val="567"/>
        </w:trPr>
        <w:tc>
          <w:tcPr>
            <w:tcW w:w="4871" w:type="dxa"/>
            <w:gridSpan w:val="2"/>
            <w:tcBorders>
              <w:top w:val="single" w:sz="4" w:space="0" w:color="000000"/>
              <w:left w:val="nil"/>
              <w:bottom w:val="single" w:sz="4" w:space="0" w:color="000000"/>
              <w:right w:val="nil"/>
            </w:tcBorders>
            <w:vAlign w:val="center"/>
          </w:tcPr>
          <w:p w:rsidR="007E7771" w:rsidRDefault="007E7771" w:rsidP="007E7771">
            <w:pPr>
              <w:adjustRightInd w:val="0"/>
              <w:snapToGrid w:val="0"/>
              <w:spacing w:line="480" w:lineRule="exact"/>
              <w:ind w:firstLineChars="100" w:firstLine="320"/>
              <w:rPr>
                <w:rFonts w:ascii="仿宋_GB2312" w:eastAsia="仿宋_GB2312"/>
                <w:sz w:val="32"/>
                <w:szCs w:val="32"/>
              </w:rPr>
            </w:pPr>
            <w:r>
              <w:rPr>
                <w:rFonts w:ascii="仿宋_GB2312" w:eastAsia="仿宋_GB2312" w:hint="eastAsia"/>
                <w:sz w:val="32"/>
                <w:szCs w:val="32"/>
              </w:rPr>
              <w:t>昆明理工大学办公室</w:t>
            </w:r>
          </w:p>
        </w:tc>
        <w:tc>
          <w:tcPr>
            <w:tcW w:w="4309" w:type="dxa"/>
            <w:gridSpan w:val="2"/>
            <w:tcBorders>
              <w:top w:val="single" w:sz="4" w:space="0" w:color="000000"/>
              <w:left w:val="nil"/>
              <w:bottom w:val="single" w:sz="4" w:space="0" w:color="000000"/>
              <w:right w:val="nil"/>
            </w:tcBorders>
            <w:vAlign w:val="center"/>
          </w:tcPr>
          <w:p w:rsidR="007E7771" w:rsidRDefault="007E7771" w:rsidP="007E7771">
            <w:pPr>
              <w:adjustRightInd w:val="0"/>
              <w:snapToGrid w:val="0"/>
              <w:spacing w:line="480" w:lineRule="exact"/>
              <w:ind w:firstLineChars="100" w:firstLine="320"/>
              <w:rPr>
                <w:rFonts w:ascii="仿宋_GB2312" w:eastAsia="仿宋_GB2312"/>
                <w:sz w:val="32"/>
                <w:szCs w:val="32"/>
              </w:rPr>
            </w:pPr>
            <w:smartTag w:uri="urn:schemas-microsoft-com:office:smarttags" w:element="chsdate">
              <w:smartTagPr>
                <w:attr w:name="Year" w:val="2010"/>
                <w:attr w:name="Month" w:val="6"/>
                <w:attr w:name="Day" w:val="18"/>
                <w:attr w:name="IsLunarDate" w:val="False"/>
                <w:attr w:name="IsROCDate" w:val="False"/>
              </w:smartTagPr>
              <w:r>
                <w:rPr>
                  <w:rFonts w:ascii="仿宋_GB2312" w:eastAsia="仿宋_GB2312" w:hint="eastAsia"/>
                  <w:sz w:val="32"/>
                  <w:szCs w:val="32"/>
                </w:rPr>
                <w:t>2010年6月18日</w:t>
              </w:r>
            </w:smartTag>
            <w:r>
              <w:rPr>
                <w:rFonts w:ascii="仿宋_GB2312" w:eastAsia="仿宋_GB2312" w:hint="eastAsia"/>
                <w:sz w:val="32"/>
                <w:szCs w:val="32"/>
              </w:rPr>
              <w:t>印发</w:t>
            </w:r>
          </w:p>
        </w:tc>
      </w:tr>
      <w:tr w:rsidR="007E7771">
        <w:trPr>
          <w:trHeight w:val="567"/>
        </w:trPr>
        <w:tc>
          <w:tcPr>
            <w:tcW w:w="5040" w:type="dxa"/>
            <w:gridSpan w:val="3"/>
            <w:tcBorders>
              <w:top w:val="single" w:sz="4" w:space="0" w:color="000000"/>
              <w:left w:val="nil"/>
              <w:bottom w:val="nil"/>
              <w:right w:val="nil"/>
            </w:tcBorders>
            <w:vAlign w:val="center"/>
          </w:tcPr>
          <w:p w:rsidR="007E7771" w:rsidRDefault="007E7771" w:rsidP="007E7771">
            <w:pPr>
              <w:adjustRightInd w:val="0"/>
              <w:snapToGrid w:val="0"/>
              <w:spacing w:line="480" w:lineRule="exact"/>
              <w:rPr>
                <w:rFonts w:ascii="仿宋_GB2312" w:eastAsia="仿宋_GB2312"/>
                <w:bCs/>
                <w:sz w:val="32"/>
                <w:szCs w:val="32"/>
              </w:rPr>
            </w:pPr>
            <w:r>
              <w:rPr>
                <w:rFonts w:ascii="仿宋_GB2312" w:eastAsia="仿宋_GB2312" w:hint="eastAsia"/>
                <w:sz w:val="32"/>
                <w:szCs w:val="32"/>
              </w:rPr>
              <w:t xml:space="preserve">  </w:t>
            </w:r>
            <w:r>
              <w:rPr>
                <w:rFonts w:ascii="仿宋_GB2312" w:eastAsia="仿宋_GB2312" w:hint="eastAsia"/>
                <w:bCs/>
                <w:sz w:val="32"/>
                <w:szCs w:val="32"/>
              </w:rPr>
              <w:t>校对：陈扬建</w:t>
            </w:r>
          </w:p>
        </w:tc>
        <w:tc>
          <w:tcPr>
            <w:tcW w:w="4140" w:type="dxa"/>
            <w:tcBorders>
              <w:top w:val="single" w:sz="4" w:space="0" w:color="000000"/>
              <w:left w:val="nil"/>
              <w:bottom w:val="nil"/>
              <w:right w:val="nil"/>
            </w:tcBorders>
            <w:vAlign w:val="center"/>
          </w:tcPr>
          <w:p w:rsidR="007E7771" w:rsidRDefault="007E7771" w:rsidP="007E7771">
            <w:pPr>
              <w:adjustRightInd w:val="0"/>
              <w:snapToGrid w:val="0"/>
              <w:spacing w:line="480" w:lineRule="exact"/>
              <w:ind w:firstLineChars="200" w:firstLine="640"/>
              <w:rPr>
                <w:rFonts w:ascii="仿宋_GB2312" w:eastAsia="仿宋_GB2312"/>
                <w:sz w:val="32"/>
                <w:szCs w:val="32"/>
              </w:rPr>
            </w:pPr>
          </w:p>
        </w:tc>
      </w:tr>
    </w:tbl>
    <w:p w:rsidR="007337E9" w:rsidRDefault="007337E9">
      <w:pPr>
        <w:rPr>
          <w:rFonts w:hint="eastAsia"/>
        </w:rPr>
      </w:pPr>
    </w:p>
    <w:sectPr w:rsidR="007337E9" w:rsidSect="007E7771">
      <w:headerReference w:type="default" r:id="rId11"/>
      <w:footerReference w:type="even" r:id="rId12"/>
      <w:footerReference w:type="default" r:id="rId1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616" w:rsidRDefault="00656616">
      <w:r>
        <w:separator/>
      </w:r>
    </w:p>
  </w:endnote>
  <w:endnote w:type="continuationSeparator" w:id="0">
    <w:p w:rsidR="00656616" w:rsidRDefault="0065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长城小标宋体">
    <w:altName w:val="微软雅黑"/>
    <w:charset w:val="86"/>
    <w:family w:val="modern"/>
    <w:pitch w:val="default"/>
  </w:font>
  <w:font w:name="方正小标宋_GBK">
    <w:altName w:val="微软雅黑"/>
    <w:charset w:val="86"/>
    <w:family w:val="auto"/>
    <w:pitch w:val="default"/>
    <w:sig w:usb0="00000000" w:usb1="080E0000" w:usb2="00000000" w:usb3="00000000" w:csb0="00040000" w:csb1="00000000"/>
  </w:font>
  <w:font w:name="方正黑体_GBK">
    <w:altName w:val="微软雅黑"/>
    <w:charset w:val="86"/>
    <w:family w:val="auto"/>
    <w:pitch w:val="default"/>
    <w:sig w:usb0="00000000" w:usb1="0000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771" w:rsidRDefault="007E7771" w:rsidP="007E777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E7771" w:rsidRDefault="007E777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771" w:rsidRDefault="007E7771" w:rsidP="007E777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C72CA">
      <w:rPr>
        <w:rStyle w:val="a4"/>
        <w:noProof/>
      </w:rPr>
      <w:t>2</w:t>
    </w:r>
    <w:r>
      <w:rPr>
        <w:rStyle w:val="a4"/>
      </w:rPr>
      <w:fldChar w:fldCharType="end"/>
    </w:r>
  </w:p>
  <w:p w:rsidR="007E7771" w:rsidRDefault="007E777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616" w:rsidRDefault="00656616">
      <w:r>
        <w:separator/>
      </w:r>
    </w:p>
  </w:footnote>
  <w:footnote w:type="continuationSeparator" w:id="0">
    <w:p w:rsidR="00656616" w:rsidRDefault="0065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771" w:rsidRDefault="007E7771" w:rsidP="00FC72CA">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E9C"/>
    <w:multiLevelType w:val="hybridMultilevel"/>
    <w:tmpl w:val="D91A7D64"/>
    <w:lvl w:ilvl="0" w:tplc="6510B0FA">
      <w:start w:val="8"/>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comments" w:enforcement="1" w:cryptProviderType="rsaAES" w:cryptAlgorithmClass="hash" w:cryptAlgorithmType="typeAny" w:cryptAlgorithmSid="14" w:cryptSpinCount="100000" w:hash="NnDB96z8E/zo1ZL01SqhGyPY06obzhBDFuhR4fJglRdpWFt9Uu+nccgkH+/UMuzy99vEEuCAdjYpJJfcbmG3mw==" w:salt="/tpnBr4vrFqp+oCfZmnCww=="/>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15D"/>
    <w:rsid w:val="0000648E"/>
    <w:rsid w:val="00006BDF"/>
    <w:rsid w:val="00020A81"/>
    <w:rsid w:val="00070506"/>
    <w:rsid w:val="00091A8F"/>
    <w:rsid w:val="00091E45"/>
    <w:rsid w:val="000B009E"/>
    <w:rsid w:val="000F41DA"/>
    <w:rsid w:val="0010468F"/>
    <w:rsid w:val="00105623"/>
    <w:rsid w:val="001065A7"/>
    <w:rsid w:val="00106F6D"/>
    <w:rsid w:val="00115BE9"/>
    <w:rsid w:val="00115CE0"/>
    <w:rsid w:val="001179E4"/>
    <w:rsid w:val="001212ED"/>
    <w:rsid w:val="001214E3"/>
    <w:rsid w:val="0013112A"/>
    <w:rsid w:val="00132335"/>
    <w:rsid w:val="00136A71"/>
    <w:rsid w:val="00142CE9"/>
    <w:rsid w:val="0014346A"/>
    <w:rsid w:val="00143C3B"/>
    <w:rsid w:val="0014573D"/>
    <w:rsid w:val="00157118"/>
    <w:rsid w:val="00160DE9"/>
    <w:rsid w:val="00162046"/>
    <w:rsid w:val="001B44AA"/>
    <w:rsid w:val="001B6132"/>
    <w:rsid w:val="001C7626"/>
    <w:rsid w:val="001E4776"/>
    <w:rsid w:val="00223B73"/>
    <w:rsid w:val="00225388"/>
    <w:rsid w:val="002402D7"/>
    <w:rsid w:val="0029098A"/>
    <w:rsid w:val="00296F0B"/>
    <w:rsid w:val="002D2338"/>
    <w:rsid w:val="002D4886"/>
    <w:rsid w:val="00302628"/>
    <w:rsid w:val="00312960"/>
    <w:rsid w:val="0033577A"/>
    <w:rsid w:val="00346EC7"/>
    <w:rsid w:val="00362CDD"/>
    <w:rsid w:val="00363EDD"/>
    <w:rsid w:val="003767D9"/>
    <w:rsid w:val="00387050"/>
    <w:rsid w:val="00394BDE"/>
    <w:rsid w:val="003A4E9A"/>
    <w:rsid w:val="003B0C28"/>
    <w:rsid w:val="003B3795"/>
    <w:rsid w:val="003C23B2"/>
    <w:rsid w:val="003D5BEB"/>
    <w:rsid w:val="003F77C5"/>
    <w:rsid w:val="004276CB"/>
    <w:rsid w:val="004301A3"/>
    <w:rsid w:val="0043148A"/>
    <w:rsid w:val="00443A12"/>
    <w:rsid w:val="00444058"/>
    <w:rsid w:val="004446F8"/>
    <w:rsid w:val="0044570D"/>
    <w:rsid w:val="004518FD"/>
    <w:rsid w:val="00453DE7"/>
    <w:rsid w:val="004818C9"/>
    <w:rsid w:val="004C131A"/>
    <w:rsid w:val="004D2706"/>
    <w:rsid w:val="004E0690"/>
    <w:rsid w:val="004E3440"/>
    <w:rsid w:val="004E52D2"/>
    <w:rsid w:val="004F3877"/>
    <w:rsid w:val="005073F4"/>
    <w:rsid w:val="00507A47"/>
    <w:rsid w:val="0051307D"/>
    <w:rsid w:val="005144E2"/>
    <w:rsid w:val="00534D7E"/>
    <w:rsid w:val="00537C96"/>
    <w:rsid w:val="00566829"/>
    <w:rsid w:val="0059251A"/>
    <w:rsid w:val="00597FA0"/>
    <w:rsid w:val="005A460B"/>
    <w:rsid w:val="005A5330"/>
    <w:rsid w:val="005C2753"/>
    <w:rsid w:val="005E7B00"/>
    <w:rsid w:val="00636F30"/>
    <w:rsid w:val="00656616"/>
    <w:rsid w:val="00667398"/>
    <w:rsid w:val="00670220"/>
    <w:rsid w:val="006838A3"/>
    <w:rsid w:val="006B01BB"/>
    <w:rsid w:val="006C38B3"/>
    <w:rsid w:val="006C6837"/>
    <w:rsid w:val="006E3EFC"/>
    <w:rsid w:val="007048F7"/>
    <w:rsid w:val="007337E9"/>
    <w:rsid w:val="007437A8"/>
    <w:rsid w:val="00744601"/>
    <w:rsid w:val="00746C29"/>
    <w:rsid w:val="007765C4"/>
    <w:rsid w:val="007E7771"/>
    <w:rsid w:val="007F2EAD"/>
    <w:rsid w:val="007F7031"/>
    <w:rsid w:val="00810B9E"/>
    <w:rsid w:val="00814FC0"/>
    <w:rsid w:val="008344A6"/>
    <w:rsid w:val="008571F5"/>
    <w:rsid w:val="008605B4"/>
    <w:rsid w:val="00876B20"/>
    <w:rsid w:val="008811A6"/>
    <w:rsid w:val="00892184"/>
    <w:rsid w:val="0089747B"/>
    <w:rsid w:val="008B2DAC"/>
    <w:rsid w:val="008D217C"/>
    <w:rsid w:val="008F1F77"/>
    <w:rsid w:val="009109E7"/>
    <w:rsid w:val="0091210A"/>
    <w:rsid w:val="0091622B"/>
    <w:rsid w:val="009324D7"/>
    <w:rsid w:val="00934D3F"/>
    <w:rsid w:val="009419BA"/>
    <w:rsid w:val="0097253B"/>
    <w:rsid w:val="00974823"/>
    <w:rsid w:val="00976906"/>
    <w:rsid w:val="009A2607"/>
    <w:rsid w:val="009A618B"/>
    <w:rsid w:val="009B4EF0"/>
    <w:rsid w:val="00A12A86"/>
    <w:rsid w:val="00A17C6C"/>
    <w:rsid w:val="00A25121"/>
    <w:rsid w:val="00A261AA"/>
    <w:rsid w:val="00A55150"/>
    <w:rsid w:val="00A71F11"/>
    <w:rsid w:val="00A94732"/>
    <w:rsid w:val="00AB1A2F"/>
    <w:rsid w:val="00AB71F5"/>
    <w:rsid w:val="00AE4005"/>
    <w:rsid w:val="00AF5DBC"/>
    <w:rsid w:val="00B01221"/>
    <w:rsid w:val="00B04C5F"/>
    <w:rsid w:val="00B13436"/>
    <w:rsid w:val="00B20D67"/>
    <w:rsid w:val="00B23EF5"/>
    <w:rsid w:val="00B37E47"/>
    <w:rsid w:val="00B42CD9"/>
    <w:rsid w:val="00B9137D"/>
    <w:rsid w:val="00B94781"/>
    <w:rsid w:val="00B9733F"/>
    <w:rsid w:val="00B976A9"/>
    <w:rsid w:val="00BA7510"/>
    <w:rsid w:val="00BC4262"/>
    <w:rsid w:val="00BD5CA0"/>
    <w:rsid w:val="00BF005A"/>
    <w:rsid w:val="00C04F39"/>
    <w:rsid w:val="00C606B4"/>
    <w:rsid w:val="00C82246"/>
    <w:rsid w:val="00C823F3"/>
    <w:rsid w:val="00C947F7"/>
    <w:rsid w:val="00CA7666"/>
    <w:rsid w:val="00CB5CCF"/>
    <w:rsid w:val="00CC3535"/>
    <w:rsid w:val="00CC3F6F"/>
    <w:rsid w:val="00CF5A9C"/>
    <w:rsid w:val="00D06B7B"/>
    <w:rsid w:val="00D257EC"/>
    <w:rsid w:val="00D36DCF"/>
    <w:rsid w:val="00D37EAF"/>
    <w:rsid w:val="00D53BC0"/>
    <w:rsid w:val="00D600D5"/>
    <w:rsid w:val="00D65A18"/>
    <w:rsid w:val="00D76D1A"/>
    <w:rsid w:val="00D97CDB"/>
    <w:rsid w:val="00DA3A00"/>
    <w:rsid w:val="00DA3D09"/>
    <w:rsid w:val="00DB5D23"/>
    <w:rsid w:val="00DC3A61"/>
    <w:rsid w:val="00DC6B51"/>
    <w:rsid w:val="00DC75D4"/>
    <w:rsid w:val="00DD3DD7"/>
    <w:rsid w:val="00DE1F74"/>
    <w:rsid w:val="00E02BE3"/>
    <w:rsid w:val="00E11763"/>
    <w:rsid w:val="00E151B9"/>
    <w:rsid w:val="00E17649"/>
    <w:rsid w:val="00E2720A"/>
    <w:rsid w:val="00E36AF8"/>
    <w:rsid w:val="00E41EB8"/>
    <w:rsid w:val="00E61A5B"/>
    <w:rsid w:val="00E83942"/>
    <w:rsid w:val="00E86483"/>
    <w:rsid w:val="00EB3057"/>
    <w:rsid w:val="00EC2EF8"/>
    <w:rsid w:val="00ED1510"/>
    <w:rsid w:val="00EE1C98"/>
    <w:rsid w:val="00F505D1"/>
    <w:rsid w:val="00F5615D"/>
    <w:rsid w:val="00F72092"/>
    <w:rsid w:val="00FC72CA"/>
    <w:rsid w:val="00FD426A"/>
    <w:rsid w:val="00FD62B4"/>
    <w:rsid w:val="00FE0477"/>
    <w:rsid w:val="00FE0CDC"/>
    <w:rsid w:val="00FE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F407F47F-9A28-4E79-853D-798355DC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7E7771"/>
    <w:pPr>
      <w:tabs>
        <w:tab w:val="center" w:pos="4153"/>
        <w:tab w:val="right" w:pos="8306"/>
      </w:tabs>
      <w:snapToGrid w:val="0"/>
      <w:jc w:val="left"/>
    </w:pPr>
    <w:rPr>
      <w:sz w:val="18"/>
      <w:szCs w:val="18"/>
    </w:rPr>
  </w:style>
  <w:style w:type="character" w:styleId="a4">
    <w:name w:val="page number"/>
    <w:basedOn w:val="a0"/>
    <w:rsid w:val="007E7771"/>
  </w:style>
  <w:style w:type="paragraph" w:styleId="a5">
    <w:name w:val="Body Text Indent"/>
    <w:basedOn w:val="a"/>
    <w:rsid w:val="007E7771"/>
    <w:pPr>
      <w:spacing w:after="120"/>
      <w:ind w:leftChars="200" w:left="420"/>
    </w:pPr>
  </w:style>
  <w:style w:type="table" w:styleId="a6">
    <w:name w:val="Table Grid"/>
    <w:basedOn w:val="a1"/>
    <w:rsid w:val="007E777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7E7771"/>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
    <w:name w:val=" Char Char Char Char Char Char Char Char Char"/>
    <w:basedOn w:val="a"/>
    <w:link w:val="a0"/>
    <w:rsid w:val="007E7771"/>
    <w:pPr>
      <w:widowControl/>
      <w:spacing w:after="160" w:line="240" w:lineRule="exact"/>
      <w:jc w:val="left"/>
    </w:pPr>
    <w:rPr>
      <w:rFonts w:ascii="Arial" w:eastAsia="Times New Roman" w:hAnsi="Arial" w:cs="Verdana"/>
      <w:b/>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1438</Words>
  <Characters>8200</Characters>
  <Application>Microsoft Office Word</Application>
  <DocSecurity>8</DocSecurity>
  <Lines>68</Lines>
  <Paragraphs>19</Paragraphs>
  <ScaleCrop>false</ScaleCrop>
  <Company>China</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尚 若冰</cp:lastModifiedBy>
  <cp:revision>2</cp:revision>
  <dcterms:created xsi:type="dcterms:W3CDTF">2022-03-05T03:45:00Z</dcterms:created>
  <dcterms:modified xsi:type="dcterms:W3CDTF">2022-03-05T03:45:00Z</dcterms:modified>
</cp:coreProperties>
</file>