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D7DD1">
      <w:pPr>
        <w:jc w:val="center"/>
      </w:pPr>
      <w:r>
        <w:rPr>
          <w:rFonts w:hint="eastAsia"/>
          <w:b/>
          <w:bCs/>
          <w:sz w:val="32"/>
          <w:szCs w:val="32"/>
        </w:rPr>
        <w:t>昆明理工大学“优良学风班”达标考核相关项计算公式及考核要求</w:t>
      </w:r>
    </w:p>
    <w:tbl>
      <w:tblPr>
        <w:tblW w:w="0" w:type="auto"/>
        <w:tblInd w:w="-9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8"/>
        <w:gridCol w:w="2107"/>
        <w:gridCol w:w="825"/>
        <w:gridCol w:w="997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类别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考核点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项序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计算公式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及相关项考核要求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（一）党团机构健全，发挥作用。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班委团支部健全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35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（二）积极开展学生党建工作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班团组织开展工作情况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（三）遵纪守法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处分人次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处分等级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四）学习风气良好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国家、省、校级奖学金获奖人次比例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object w:dxaOrig="68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0pt;height:33pt;mso-wrap-style:square;mso-position-horizontal-relative:page;mso-position-vertical-relative:page" o:ole="">
                  <v:imagedata r:id="rId6" o:title=""/>
                  <o:lock v:ext="edit" aspectratio="f"/>
                </v:shape>
                <o:OLEObject Type="Embed" ProgID="Equation.3" ShapeID="_x0000_i1025" DrawAspect="Content" ObjectID="_1707987292" r:id="rId7">
                  <o:FieldCodes>\* MERGEFORMAT</o:FieldCodes>
                </o:OLEObject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76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受校级及以上表彰人次比例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2261" w:dyaOrig="660">
                <v:shape id="_x0000_i1026" type="#_x0000_t75" style="width:113pt;height:33pt;mso-wrap-style:square;mso-position-horizontal-relative:page;mso-position-vertical-relative:page" o:ole="">
                  <v:imagedata r:id="rId8" o:title=""/>
                </v:shape>
                <o:OLEObject Type="Embed" ProgID="Equation.KSEE3" ShapeID="_x0000_i1026" DrawAspect="Content" ObjectID="_1707987293" r:id="rId9">
                  <o:FieldCodes>\* MERGEFORMAT</o:FieldCodes>
                </o:OLEObject>
              </w:object>
            </w: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t>（不含国家、省政府、校级奖学金获奖人数）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后进生进步明显人数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该项考核为一学年内，班级内获“学习进步奖”人数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全班综合素质测评平均分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该项分数由系统导出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12"/>
        </w:trPr>
        <w:tc>
          <w:tcPr>
            <w:tcW w:w="12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（五）学习勤奋努力，共同进步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智育平均分成绩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该项分数由系统导出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非英语专业班级英语四级六级考试总分达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425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分，英语专业班级通过高等学校英语专业四级考试人数比例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2281" w:dyaOrig="660">
                <v:shape id="_x0000_i1027" type="#_x0000_t75" style="width:114pt;height:33pt;mso-wrap-style:square;mso-position-horizontal-relative:page;mso-position-vertical-relative:page" o:ole="">
                  <v:imagedata r:id="rId10" o:title=""/>
                </v:shape>
                <o:OLEObject Type="Embed" ProgID="Equation.KSEE3" ShapeID="_x0000_i1027" DrawAspect="Content" ObjectID="_1707987294" r:id="rId11">
                  <o:FieldCodes>\* MERGEFORMAT</o:FieldCodes>
                </o:OLEObject>
              </w:object>
            </w: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t>非英语专业</w:t>
            </w: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t>)</w:t>
            </w: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t>；</w:t>
            </w: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2522" w:dyaOrig="660">
                <v:shape id="_x0000_i1028" type="#_x0000_t75" style="width:126pt;height:33pt;mso-wrap-style:square;mso-position-horizontal-relative:page;mso-position-vertical-relative:page" o:ole="">
                  <v:imagedata r:id="rId12" o:title=""/>
                </v:shape>
                <o:OLEObject Type="Embed" ProgID="Equation.KSEE3" ShapeID="_x0000_i1028" DrawAspect="Content" ObjectID="_1707987295" r:id="rId13">
                  <o:FieldCodes>\* MERGEFORMAT</o:FieldCodes>
                </o:OLEObject>
              </w:object>
            </w:r>
            <w:r>
              <w:rPr>
                <w:rFonts w:ascii="宋体" w:hAnsi="宋体" w:cs="宋体" w:hint="eastAsia"/>
                <w:position w:val="-26"/>
                <w:sz w:val="24"/>
                <w:szCs w:val="24"/>
              </w:rPr>
              <w:t>（英语专业）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《大学英语》课考试平均分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8080" w:dyaOrig="700">
                <v:shape id="_x0000_i1029" type="#_x0000_t75" style="width:404pt;height:35pt;mso-wrap-style:square;mso-position-horizontal-relative:page;mso-position-vertical-relative:page" o:ole="">
                  <v:imagedata r:id="rId14" o:title=""/>
                </v:shape>
                <o:OLEObject Type="Embed" ProgID="Equation.KSEE3" ShapeID="_x0000_i1029" DrawAspect="Content" ObjectID="_1707987296" r:id="rId15">
                  <o:FieldCodes>\* MERGEFORMAT</o:FieldCodes>
                </o:OLEObject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补考率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7540" w:dyaOrig="660">
                <v:shape id="_x0000_i1030" type="#_x0000_t75" style="width:377pt;height:33pt;mso-wrap-style:square;mso-position-horizontal-relative:page;mso-position-vertical-relative:page" o:ole="">
                  <v:imagedata r:id="rId16" o:title=""/>
                </v:shape>
                <o:OLEObject Type="Embed" ProgID="Equation.KSEE3" ShapeID="_x0000_i1030" DrawAspect="Content" ObjectID="_1707987297" r:id="rId17">
                  <o:FieldCodes>\* MERGEFORMAT</o:FieldCodes>
                </o:OLEObject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获得国家计算机一、二、三级人数比例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2980" w:dyaOrig="660">
                <v:shape id="_x0000_i1031" type="#_x0000_t75" style="width:149pt;height:33pt;mso-wrap-style:square;mso-position-horizontal-relative:page;mso-position-vertical-relative:page" o:ole="">
                  <v:imagedata r:id="rId18" o:title=""/>
                </v:shape>
                <o:OLEObject Type="Embed" ProgID="Equation.KSEE3" ShapeID="_x0000_i1031" DrawAspect="Content" ObjectID="_1707987298" r:id="rId19">
                  <o:FieldCodes>\* MERGEFORMAT</o:FieldCodes>
                </o:OLEObject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《大学生计算机基础》课平均成绩</w:t>
            </w: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9999" w:dyaOrig="700">
                <v:shape id="_x0000_i1032" type="#_x0000_t75" style="width:500pt;height:35pt;mso-wrap-style:square;mso-position-horizontal-relative:page;mso-position-vertical-relative:page" o:ole="">
                  <v:imagedata r:id="rId20" o:title=""/>
                </v:shape>
                <o:OLEObject Type="Embed" ProgID="Equation.KSEE3" ShapeID="_x0000_i1032" DrawAspect="Content" ObjectID="_1707987299" r:id="rId21">
                  <o:FieldCodes>\* MERGEFORMAT</o:FieldCodes>
                </o:OLEObject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未获得学分累计达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—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59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学分人数与全班人数比例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4099" w:dyaOrig="660">
                <v:shape id="_x0000_i1033" type="#_x0000_t75" style="width:205pt;height:33pt;mso-wrap-style:square;mso-position-horizontal-relative:page;mso-position-vertical-relative:page" o:ole="">
                  <v:imagedata r:id="rId22" o:title=""/>
                </v:shape>
                <o:OLEObject Type="Embed" ProgID="Equation.KSEE3" ShapeID="_x0000_i1033" DrawAspect="Content" ObjectID="_1707987300" r:id="rId23">
                  <o:FieldCodes>\* MERGEFORMAT</o:FieldCodes>
                </o:OLEObject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12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未获得学分累计达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60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学分（含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60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）人数与全班人数比例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position w:val="-26"/>
                <w:sz w:val="30"/>
                <w:szCs w:val="30"/>
              </w:rPr>
              <w:object w:dxaOrig="4340" w:dyaOrig="660">
                <v:shape id="_x0000_i1034" type="#_x0000_t75" style="width:217pt;height:33pt;mso-wrap-style:square;mso-position-horizontal-relative:page;mso-position-vertical-relative:page" o:ole="">
                  <v:imagedata r:id="rId24" o:title=""/>
                </v:shape>
                <o:OLEObject Type="Embed" ProgID="Equation.KSEE3" ShapeID="_x0000_i1034" DrawAspect="Content" ObjectID="_1707987301" r:id="rId25">
                  <o:FieldCodes>\* MERGEFORMAT</o:FieldCodes>
                </o:OLEObject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lastRenderedPageBreak/>
              <w:t>（六）积极参加体育锻炼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体育平均成绩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该项分数由系统导出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（七）积极创建文明宿舍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社区学生品行表现测评平均分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该项分数由系统导出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（八）课余时间集体活动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开展校园文化活动、文体活动、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社会公益活动等情况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（九）校园科技文化活动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开展课外创新创业、科研活动情况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（十）学科竞赛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开展建模、数理化知识、英语等竞赛情况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（十一）社会实践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参加社会实践活动情况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FD7DD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</w:tc>
      </w:tr>
    </w:tbl>
    <w:p w:rsidR="00000000" w:rsidRDefault="00FD7DD1"/>
    <w:sectPr w:rsidR="00000000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7DD1" w:rsidRDefault="00FD7DD1" w:rsidP="00FD7DD1">
      <w:r>
        <w:separator/>
      </w:r>
    </w:p>
  </w:endnote>
  <w:endnote w:type="continuationSeparator" w:id="0">
    <w:p w:rsidR="00FD7DD1" w:rsidRDefault="00FD7DD1" w:rsidP="00FD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7DD1" w:rsidRDefault="00FD7DD1" w:rsidP="00FD7DD1">
      <w:r>
        <w:separator/>
      </w:r>
    </w:p>
  </w:footnote>
  <w:footnote w:type="continuationSeparator" w:id="0">
    <w:p w:rsidR="00FD7DD1" w:rsidRDefault="00FD7DD1" w:rsidP="00FD7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2BACC03-3111-4E2B-A03D-266D8D81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昆明理工大学“优良学风班”达标考核相关项计算公式及考核要求</dc:title>
  <dc:subject/>
  <dc:creator>CR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