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ascii="Times New Roman" w:hAnsi="Times New Roman"/>
          <w:spacing w:val="20"/>
        </w:rPr>
        <w:t>QG</w:t>
      </w:r>
      <w:r>
        <w:rPr>
          <w:rFonts w:hint="eastAsia" w:ascii="Times New Roman" w:hAnsi="Times New Roman"/>
          <w:spacing w:val="20"/>
        </w:rPr>
        <w:t>工作室周记</w:t>
      </w:r>
    </w:p>
    <w:tbl>
      <w:tblPr>
        <w:tblStyle w:val="6"/>
        <w:tblW w:w="5000" w:type="pct"/>
        <w:tblInd w:w="0" w:type="dxa"/>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PrEx>
        <w:tc>
          <w:tcPr>
            <w:tcW w:w="1187" w:type="pct"/>
            <w:tcBorders>
              <w:bottom w:val="thickThinLargeGap" w:color="000000" w:sz="12" w:space="0"/>
            </w:tcBorders>
          </w:tcPr>
          <w:p>
            <w:pPr>
              <w:pStyle w:val="5"/>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hint="eastAsia" w:ascii="微软雅黑" w:hAnsi="微软雅黑" w:eastAsia="微软雅黑"/>
                <w:sz w:val="28"/>
                <w:lang w:val="en-US" w:eastAsia="zh-CN"/>
              </w:rPr>
              <w:t>林德扬</w:t>
            </w:r>
          </w:p>
        </w:tc>
        <w:tc>
          <w:tcPr>
            <w:tcW w:w="1272" w:type="pct"/>
            <w:tcBorders>
              <w:bottom w:val="thickThinLargeGap" w:color="000000" w:sz="12" w:space="0"/>
            </w:tcBorders>
          </w:tcPr>
          <w:p>
            <w:pPr>
              <w:pStyle w:val="5"/>
              <w:ind w:left="113" w:leftChars="54"/>
              <w:rPr>
                <w:rFonts w:hint="eastAsia" w:ascii="微软雅黑" w:hAnsi="微软雅黑" w:eastAsia="微软雅黑"/>
                <w:sz w:val="28"/>
                <w:lang w:val="en-US" w:eastAsia="zh-CN"/>
              </w:rPr>
            </w:pPr>
            <w:r>
              <w:rPr>
                <w:rFonts w:hint="eastAsia" w:ascii="微软雅黑" w:hAnsi="微软雅黑" w:eastAsia="微软雅黑"/>
                <w:sz w:val="28"/>
                <w:lang w:val="zh-CN"/>
              </w:rPr>
              <w:t>组别</w:t>
            </w:r>
            <w:r>
              <w:rPr>
                <w:rFonts w:ascii="微软雅黑" w:hAnsi="微软雅黑" w:eastAsia="微软雅黑"/>
                <w:sz w:val="28"/>
              </w:rPr>
              <w:t>：</w:t>
            </w:r>
            <w:r>
              <w:rPr>
                <w:rFonts w:hint="eastAsia" w:ascii="微软雅黑" w:hAnsi="微软雅黑" w:eastAsia="微软雅黑"/>
                <w:sz w:val="28"/>
                <w:lang w:val="en-US" w:eastAsia="zh-CN"/>
              </w:rPr>
              <w:t>人工智能</w:t>
            </w:r>
          </w:p>
        </w:tc>
        <w:tc>
          <w:tcPr>
            <w:tcW w:w="1101" w:type="pct"/>
            <w:tcBorders>
              <w:bottom w:val="thickThinLargeGap" w:color="000000" w:sz="12" w:space="0"/>
            </w:tcBorders>
          </w:tcPr>
          <w:p>
            <w:pPr>
              <w:pStyle w:val="5"/>
              <w:rPr>
                <w:rFonts w:ascii="微软雅黑" w:hAnsi="微软雅黑" w:eastAsia="微软雅黑"/>
                <w:sz w:val="28"/>
              </w:rPr>
            </w:pPr>
            <w:r>
              <w:rPr>
                <w:rFonts w:hint="eastAsia" w:ascii="微软雅黑" w:hAnsi="微软雅黑" w:eastAsia="微软雅黑"/>
                <w:sz w:val="28"/>
                <w:lang w:val="zh-CN"/>
              </w:rPr>
              <w:t>年级：</w:t>
            </w:r>
            <w:r>
              <w:rPr>
                <w:rFonts w:hint="eastAsia" w:ascii="微软雅黑" w:hAnsi="微软雅黑" w:eastAsia="微软雅黑"/>
                <w:sz w:val="28"/>
                <w:lang w:val="en-US" w:eastAsia="zh-CN"/>
              </w:rPr>
              <w:t>22</w:t>
            </w:r>
            <w:r>
              <w:rPr>
                <w:rFonts w:hint="eastAsia" w:ascii="微软雅黑" w:hAnsi="微软雅黑" w:eastAsia="微软雅黑"/>
                <w:sz w:val="28"/>
                <w:lang w:val="zh-CN"/>
              </w:rPr>
              <w:t>级</w:t>
            </w:r>
          </w:p>
        </w:tc>
        <w:tc>
          <w:tcPr>
            <w:tcW w:w="1440" w:type="pct"/>
            <w:tcBorders>
              <w:bottom w:val="thickThinLargeGap" w:color="000000" w:sz="12" w:space="0"/>
            </w:tcBorders>
          </w:tcPr>
          <w:p>
            <w:pPr>
              <w:pStyle w:val="5"/>
              <w:ind w:firstLine="560" w:firstLineChars="200"/>
              <w:rPr>
                <w:rFonts w:ascii="微软雅黑" w:hAnsi="微软雅黑" w:eastAsia="微软雅黑"/>
                <w:sz w:val="28"/>
                <w:lang w:val="zh-CN"/>
              </w:rPr>
            </w:pPr>
            <w:r>
              <w:rPr>
                <w:rFonts w:hint="eastAsia" w:ascii="微软雅黑" w:hAnsi="微软雅黑" w:eastAsia="微软雅黑"/>
                <w:sz w:val="28"/>
                <w:lang w:val="zh-CN"/>
              </w:rPr>
              <w:t xml:space="preserve">周次：第 </w:t>
            </w:r>
            <w:r>
              <w:rPr>
                <w:rFonts w:hint="eastAsia" w:ascii="微软雅黑" w:hAnsi="微软雅黑" w:eastAsia="微软雅黑"/>
                <w:sz w:val="28"/>
                <w:lang w:val="en-US" w:eastAsia="zh-CN"/>
              </w:rPr>
              <w:t>1</w:t>
            </w:r>
            <w:r>
              <w:rPr>
                <w:rFonts w:ascii="微软雅黑" w:hAnsi="微软雅黑" w:eastAsia="微软雅黑"/>
                <w:sz w:val="28"/>
                <w:lang w:val="zh-CN"/>
              </w:rPr>
              <w:t xml:space="preserve"> </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6"/>
        <w:tblW w:w="9918" w:type="dxa"/>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autofit"/>
        <w:tblCellMar>
          <w:top w:w="0" w:type="dxa"/>
          <w:left w:w="108" w:type="dxa"/>
          <w:bottom w:w="0" w:type="dxa"/>
          <w:right w:w="108" w:type="dxa"/>
        </w:tblCellMar>
      </w:tblPr>
      <w:tblGrid>
        <w:gridCol w:w="1271"/>
        <w:gridCol w:w="8647"/>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57" w:hRule="atLeast"/>
        </w:trPr>
        <w:tc>
          <w:tcPr>
            <w:tcW w:w="9918" w:type="dxa"/>
            <w:gridSpan w:val="2"/>
            <w:tcBorders>
              <w:top w:val="single" w:color="ED7D31" w:sz="4" w:space="0"/>
              <w:left w:val="single" w:color="ED7D31" w:sz="4" w:space="0"/>
              <w:bottom w:val="single" w:color="ED7D31" w:sz="4" w:space="0"/>
              <w:right w:val="single" w:color="ED7D31" w:sz="4" w:space="0"/>
            </w:tcBorders>
            <w:shd w:val="clear" w:color="auto" w:fill="ED7D31"/>
          </w:tcPr>
          <w:p>
            <w:pPr>
              <w:jc w:val="center"/>
              <w:rPr>
                <w:b/>
                <w:bCs/>
                <w:color w:val="FFFFFF"/>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383" w:hRule="atLeast"/>
        </w:trPr>
        <w:tc>
          <w:tcPr>
            <w:tcW w:w="1271" w:type="dxa"/>
            <w:shd w:val="clear" w:color="auto" w:fill="FBE4D5"/>
            <w:vAlign w:val="center"/>
          </w:tcPr>
          <w:p>
            <w:pPr>
              <w:jc w:val="center"/>
              <w:rPr>
                <w:b/>
                <w:bCs/>
              </w:rPr>
            </w:pPr>
            <w:r>
              <w:rPr>
                <w:rFonts w:hint="eastAsia"/>
                <w:b/>
                <w:bCs/>
              </w:rPr>
              <w:t>生活随记</w:t>
            </w:r>
          </w:p>
        </w:tc>
        <w:tc>
          <w:tcPr>
            <w:tcW w:w="8647" w:type="dxa"/>
            <w:shd w:val="clear" w:color="auto" w:fill="FBE4D5"/>
            <w:vAlign w:val="center"/>
          </w:tcPr>
          <w:p>
            <w:pPr>
              <w:ind w:right="162" w:rightChars="77"/>
              <w:jc w:val="left"/>
              <w:rPr>
                <w:rFonts w:hint="default" w:eastAsia="宋体"/>
                <w:lang w:val="en-US" w:eastAsia="zh-CN"/>
              </w:rPr>
            </w:pPr>
            <w:r>
              <w:rPr>
                <w:rFonts w:hint="eastAsia"/>
                <w:lang w:val="en-US" w:eastAsia="zh-CN"/>
              </w:rPr>
              <w:t>经过一周的吃外卖的生活，我惊奇地发现学校的饭堂也并非像以前一样充满缺点，饭堂在外卖面前显得那么实惠，那么美味。两次的康乐活动让放松了身体，愉悦了心灵，在第一次康乐中与不同方向的同学进行了一系列小游戏，在快乐游戏的同时认识了新同学。第二次康乐与第一次康乐大不相同，这次我们进行了户外的运动，走出了工作室，在球场上挥汗如雨。同工作室伙伴一同回宿舍的路上，我们不断交流学习上的困难与收获，吸取了对方的经验，让我收获颇多。</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810" w:hRule="atLeast"/>
        </w:trPr>
        <w:tc>
          <w:tcPr>
            <w:tcW w:w="1271" w:type="dxa"/>
            <w:vAlign w:val="center"/>
          </w:tcPr>
          <w:p>
            <w:pPr>
              <w:jc w:val="center"/>
              <w:rPr>
                <w:b/>
                <w:bCs/>
              </w:rPr>
            </w:pPr>
            <w:r>
              <w:rPr>
                <w:rFonts w:hint="eastAsia"/>
                <w:b/>
                <w:bCs/>
              </w:rPr>
              <w:t>学习</w:t>
            </w:r>
          </w:p>
          <w:p>
            <w:pPr>
              <w:jc w:val="center"/>
              <w:rPr>
                <w:b/>
                <w:bCs/>
              </w:rPr>
            </w:pPr>
            <w:r>
              <w:rPr>
                <w:rFonts w:hint="eastAsia"/>
                <w:b/>
                <w:bCs/>
              </w:rPr>
              <w:t>开发</w:t>
            </w:r>
          </w:p>
          <w:p>
            <w:pPr>
              <w:jc w:val="center"/>
              <w:rPr>
                <w:b/>
                <w:bCs/>
              </w:rPr>
            </w:pPr>
            <w:r>
              <w:rPr>
                <w:rFonts w:hint="eastAsia"/>
                <w:b/>
                <w:bCs/>
              </w:rPr>
              <w:t>比赛</w:t>
            </w:r>
          </w:p>
          <w:p>
            <w:pPr>
              <w:jc w:val="center"/>
              <w:rPr>
                <w:b/>
                <w:bCs/>
              </w:rPr>
            </w:pPr>
            <w:r>
              <w:rPr>
                <w:rFonts w:hint="eastAsia"/>
                <w:b/>
                <w:bCs/>
              </w:rPr>
              <w:t>情况</w:t>
            </w:r>
          </w:p>
        </w:tc>
        <w:tc>
          <w:tcPr>
            <w:tcW w:w="8647" w:type="dxa"/>
            <w:vAlign w:val="center"/>
          </w:tcPr>
          <w:p>
            <w:pPr>
              <w:rPr>
                <w:rFonts w:hint="default" w:eastAsia="宋体"/>
                <w:sz w:val="24"/>
                <w:szCs w:val="24"/>
                <w:lang w:val="en-US" w:eastAsia="zh-CN"/>
              </w:rPr>
            </w:pPr>
            <w:r>
              <w:rPr>
                <w:rFonts w:hint="eastAsia"/>
                <w:sz w:val="24"/>
                <w:szCs w:val="24"/>
                <w:lang w:val="en-US" w:eastAsia="zh-CN"/>
              </w:rPr>
              <w:t>掌握MAS、DP、CAV等方面的简单知识，对深度学习方面有了一定的了解。清楚各种经典神经网络的结构，体会到了深度学习的精髓所在。体会到了车联网基于多智能体系统运作的过程；掌握了BP神经网络，了解神经网络的核心——反向传播，正是因为这一点让我明白了BP神经网络是最基础的神经网络的原因。学习了卷积神经网络，明白卷积层、池化层、全连接层等结构的作用，并学习了卷积神经网络的发展史，AlexNet、GoogLeNet、RestNet等卷积神经网络都象征着神经网络的发展。除此之外还参加了一次kaggle图像分类比赛，经过不断的摸索和请教终于学会开始了自己第一次图像分类比赛，虽然仍有一些困难，但走出了第一步让我对后面的旅途充满了期待，期待自己继续克服困难继续前进。</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124" w:hRule="atLeast"/>
        </w:trPr>
        <w:tc>
          <w:tcPr>
            <w:tcW w:w="1271" w:type="dxa"/>
            <w:shd w:val="clear" w:color="auto" w:fill="FBE4D5"/>
            <w:vAlign w:val="center"/>
          </w:tcPr>
          <w:p>
            <w:pPr>
              <w:jc w:val="center"/>
              <w:rPr>
                <w:b/>
                <w:bCs/>
              </w:rPr>
            </w:pPr>
            <w:r>
              <w:rPr>
                <w:rFonts w:hint="eastAsia"/>
                <w:b/>
                <w:bCs/>
              </w:rPr>
              <w:t>一周总结</w:t>
            </w:r>
          </w:p>
        </w:tc>
        <w:tc>
          <w:tcPr>
            <w:tcW w:w="8647" w:type="dxa"/>
            <w:shd w:val="clear" w:color="auto" w:fill="FBE4D5"/>
            <w:vAlign w:val="center"/>
          </w:tcPr>
          <w:p>
            <w:pPr>
              <w:ind w:right="521" w:rightChars="248"/>
              <w:rPr>
                <w:rFonts w:hint="default" w:eastAsia="宋体"/>
                <w:lang w:val="en-US" w:eastAsia="zh-CN"/>
              </w:rPr>
            </w:pPr>
            <w:r>
              <w:rPr>
                <w:rFonts w:hint="eastAsia"/>
                <w:lang w:val="en-US" w:eastAsia="zh-CN"/>
              </w:rPr>
              <w:t>第一周是在期待和焦虑中度过的，一开始是充满兴奋与期待的，对汲取新知识充满了向往，期望在这浩瀚的人工智能领域有所成就，但随着学习的进行，学习上带给我的困难大大地降低了我的成就感，学习资料的冗杂、学习资料查找的困难、无法跟上学习进度都让我感受到了焦虑，挫败感迎面而来，但及时的心态调整让我重新认清自身的定位，清楚到想要完成这项任务是不能一步登天的也不是一朝一夕就能取得成功的，是需要通过日积月累的沉淀的，要学会享受这种“开拓”的感觉，走出自己的舒适圈，当感受到痛苦与难受的时候往往是自己汲取知识的黄金时间。</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544" w:hRule="atLeast"/>
        </w:trPr>
        <w:tc>
          <w:tcPr>
            <w:tcW w:w="1271" w:type="dxa"/>
            <w:vAlign w:val="center"/>
          </w:tcPr>
          <w:p>
            <w:pPr>
              <w:jc w:val="center"/>
              <w:rPr>
                <w:b/>
                <w:bCs/>
              </w:rPr>
            </w:pPr>
            <w:r>
              <w:rPr>
                <w:rFonts w:hint="eastAsia"/>
                <w:b/>
                <w:bCs/>
              </w:rPr>
              <w:t>存在问题</w:t>
            </w:r>
          </w:p>
          <w:p>
            <w:pPr>
              <w:jc w:val="center"/>
              <w:rPr>
                <w:b/>
                <w:bCs/>
              </w:rPr>
            </w:pPr>
            <w:r>
              <w:rPr>
                <w:rFonts w:hint="eastAsia"/>
                <w:b/>
                <w:bCs/>
              </w:rPr>
              <w:t>未来规划</w:t>
            </w:r>
          </w:p>
        </w:tc>
        <w:tc>
          <w:tcPr>
            <w:tcW w:w="8647" w:type="dxa"/>
            <w:vAlign w:val="center"/>
          </w:tcPr>
          <w:p>
            <w:pPr>
              <w:ind w:right="162" w:rightChars="77"/>
              <w:rPr>
                <w:rFonts w:hint="eastAsia"/>
                <w:lang w:val="en-US" w:eastAsia="zh-CN"/>
              </w:rPr>
            </w:pPr>
            <w:r>
              <w:rPr>
                <w:rFonts w:hint="eastAsia"/>
                <w:lang w:val="en-US" w:eastAsia="zh-CN"/>
              </w:rPr>
              <w:t>问题：没有完全适应新的环境，总认为现在仍是放假的时间，想出去游玩的心情油然而生；学习时间较长容易产生疲惫导致学习效率下降；面对比较复杂、困难的问题容易回避</w:t>
            </w:r>
          </w:p>
          <w:p>
            <w:pPr>
              <w:ind w:right="162" w:rightChars="77"/>
              <w:rPr>
                <w:rFonts w:hint="default"/>
                <w:lang w:val="en-US" w:eastAsia="zh-CN"/>
              </w:rPr>
            </w:pPr>
            <w:r>
              <w:rPr>
                <w:rFonts w:hint="eastAsia"/>
                <w:lang w:val="en-US" w:eastAsia="zh-CN"/>
              </w:rPr>
              <w:t>规划：积极调整作息，该学习的时候认真学习，该放松的时候多多放松；换个角度看待问题，将解决问题的过程看作是闯关，让自己沉浸其中，适当给予自己肯定的回答；制定好每天的学习任务与计划，给自己一个前进的目标，不让自己懈怠；减小自己的压力，明白这是一次“长征”，不要过度在意某一次的得与失，清楚明白坚持才是这场“长征”胜利的关键。</w:t>
            </w:r>
            <w:bookmarkStart w:id="0" w:name="_GoBack"/>
            <w:bookmarkEnd w:id="0"/>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269" w:hRule="atLeast"/>
        </w:trPr>
        <w:tc>
          <w:tcPr>
            <w:tcW w:w="1271" w:type="dxa"/>
            <w:shd w:val="clear" w:color="auto" w:fill="FBE4D5"/>
            <w:vAlign w:val="center"/>
          </w:tcPr>
          <w:p>
            <w:pPr>
              <w:jc w:val="center"/>
              <w:rPr>
                <w:b/>
                <w:bCs/>
              </w:rPr>
            </w:pPr>
            <w:r>
              <w:rPr>
                <w:rFonts w:hint="eastAsia"/>
                <w:b/>
                <w:bCs/>
              </w:rPr>
              <w:t>导师评价</w:t>
            </w:r>
          </w:p>
        </w:tc>
        <w:tc>
          <w:tcPr>
            <w:tcW w:w="8647" w:type="dxa"/>
            <w:shd w:val="clear" w:color="auto" w:fill="FBE4D5"/>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zNmViMzI2NjAwOTA4ZWIxNWUyYWE1YTY4ZjMzYzQifQ=="/>
  </w:docVars>
  <w:rsids>
    <w:rsidRoot w:val="00C65D27"/>
    <w:rsid w:val="000058FA"/>
    <w:rsid w:val="000268EA"/>
    <w:rsid w:val="00066DE7"/>
    <w:rsid w:val="000D07C5"/>
    <w:rsid w:val="00105962"/>
    <w:rsid w:val="00121613"/>
    <w:rsid w:val="00151F4C"/>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14202"/>
    <w:rsid w:val="00424223"/>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703FA2"/>
    <w:rsid w:val="0071158B"/>
    <w:rsid w:val="00713843"/>
    <w:rsid w:val="0074164E"/>
    <w:rsid w:val="00743DE9"/>
    <w:rsid w:val="0079376C"/>
    <w:rsid w:val="007A058A"/>
    <w:rsid w:val="007C2708"/>
    <w:rsid w:val="007E1927"/>
    <w:rsid w:val="007F0043"/>
    <w:rsid w:val="00800BC3"/>
    <w:rsid w:val="008142F1"/>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2FA6"/>
    <w:rsid w:val="00A14497"/>
    <w:rsid w:val="00A20F1C"/>
    <w:rsid w:val="00A44165"/>
    <w:rsid w:val="00A63225"/>
    <w:rsid w:val="00A83BC4"/>
    <w:rsid w:val="00AB6157"/>
    <w:rsid w:val="00AD230B"/>
    <w:rsid w:val="00AE37C8"/>
    <w:rsid w:val="00B12653"/>
    <w:rsid w:val="00B17E0A"/>
    <w:rsid w:val="00B41346"/>
    <w:rsid w:val="00B47807"/>
    <w:rsid w:val="00B6281A"/>
    <w:rsid w:val="00B94035"/>
    <w:rsid w:val="00B94BC3"/>
    <w:rsid w:val="00B9511D"/>
    <w:rsid w:val="00BA3F2E"/>
    <w:rsid w:val="00C05458"/>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E75DEE"/>
    <w:rsid w:val="00EB1002"/>
    <w:rsid w:val="00EC585A"/>
    <w:rsid w:val="00ED5D37"/>
    <w:rsid w:val="00F62CD2"/>
    <w:rsid w:val="00F83B80"/>
    <w:rsid w:val="00FA673D"/>
    <w:rsid w:val="00FB64CC"/>
    <w:rsid w:val="00FC02E7"/>
    <w:rsid w:val="00FC41BC"/>
    <w:rsid w:val="00FC6E00"/>
    <w:rsid w:val="00FD78CF"/>
    <w:rsid w:val="00FF672B"/>
    <w:rsid w:val="095667F4"/>
    <w:rsid w:val="12CF125B"/>
    <w:rsid w:val="199F73F1"/>
    <w:rsid w:val="245243A1"/>
    <w:rsid w:val="2FEB6C6B"/>
    <w:rsid w:val="335D28E2"/>
    <w:rsid w:val="39CC5A25"/>
    <w:rsid w:val="5A5A0650"/>
    <w:rsid w:val="5F6B12E7"/>
    <w:rsid w:val="6C8A2854"/>
    <w:rsid w:val="6F057BFB"/>
    <w:rsid w:val="7CC220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9"/>
    <w:qFormat/>
    <w:uiPriority w:val="99"/>
    <w:pPr>
      <w:tabs>
        <w:tab w:val="center" w:pos="4153"/>
        <w:tab w:val="right" w:pos="8306"/>
      </w:tabs>
      <w:snapToGrid w:val="0"/>
      <w:jc w:val="left"/>
    </w:pPr>
    <w:rPr>
      <w:sz w:val="18"/>
      <w:szCs w:val="18"/>
    </w:rPr>
  </w:style>
  <w:style w:type="paragraph" w:styleId="4">
    <w:name w:val="header"/>
    <w:basedOn w:val="1"/>
    <w:link w:val="18"/>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20"/>
    <w:qFormat/>
    <w:uiPriority w:val="99"/>
    <w:pPr>
      <w:widowControl/>
      <w:spacing w:after="80"/>
      <w:contextualSpacing/>
      <w:jc w:val="left"/>
    </w:pPr>
    <w:rPr>
      <w:rFonts w:ascii="Calibri Light" w:hAnsi="Calibri Light"/>
      <w:color w:val="000000"/>
      <w:kern w:val="28"/>
      <w:sz w:val="32"/>
      <w:szCs w:val="20"/>
    </w:rPr>
  </w:style>
  <w:style w:type="table" w:styleId="7">
    <w:name w:val="Table Grid"/>
    <w:basedOn w:val="6"/>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标题 1 字符"/>
    <w:basedOn w:val="8"/>
    <w:link w:val="2"/>
    <w:locked/>
    <w:uiPriority w:val="99"/>
    <w:rPr>
      <w:rFonts w:cs="Times New Roman"/>
      <w:b/>
      <w:bCs/>
      <w:kern w:val="44"/>
      <w:sz w:val="44"/>
      <w:szCs w:val="44"/>
    </w:rPr>
  </w:style>
  <w:style w:type="table" w:customStyle="1" w:styleId="11">
    <w:name w:val="网格表 5 深色 - 着色 51"/>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D9E2F3"/>
    </w:tcPr>
  </w:style>
  <w:style w:type="table" w:customStyle="1" w:styleId="12">
    <w:name w:val="网格表 1 浅色 - 着色 51"/>
    <w:qFormat/>
    <w:uiPriority w:val="99"/>
    <w:tblPr>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
  </w:style>
  <w:style w:type="table" w:customStyle="1" w:styleId="13">
    <w:name w:val="网格表 1 浅色 - 着色 21"/>
    <w:qFormat/>
    <w:uiPriority w:val="99"/>
    <w:tblPr>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
  </w:style>
  <w:style w:type="table" w:customStyle="1" w:styleId="14">
    <w:name w:val="网格表 4 - 着色 51"/>
    <w:qFormat/>
    <w:uiPriority w:val="99"/>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style>
  <w:style w:type="table" w:customStyle="1" w:styleId="15">
    <w:name w:val="网格表 5 深色 - 着色 61"/>
    <w:qFormat/>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E2EFD9"/>
    </w:tcPr>
  </w:style>
  <w:style w:type="table" w:customStyle="1" w:styleId="16">
    <w:name w:val="网格表 6 彩色 - 着色 61"/>
    <w:qFormat/>
    <w:uiPriority w:val="99"/>
    <w:rPr>
      <w:color w:val="538135"/>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table" w:customStyle="1" w:styleId="17">
    <w:name w:val="网格表 4 - 着色 61"/>
    <w:qFormat/>
    <w:uiPriority w:val="99"/>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character" w:customStyle="1" w:styleId="18">
    <w:name w:val="页眉 字符"/>
    <w:basedOn w:val="8"/>
    <w:link w:val="4"/>
    <w:qFormat/>
    <w:locked/>
    <w:uiPriority w:val="99"/>
    <w:rPr>
      <w:rFonts w:cs="Times New Roman"/>
      <w:sz w:val="18"/>
      <w:szCs w:val="18"/>
    </w:rPr>
  </w:style>
  <w:style w:type="character" w:customStyle="1" w:styleId="19">
    <w:name w:val="页脚 字符"/>
    <w:basedOn w:val="8"/>
    <w:link w:val="3"/>
    <w:qFormat/>
    <w:locked/>
    <w:uiPriority w:val="99"/>
    <w:rPr>
      <w:rFonts w:cs="Times New Roman"/>
      <w:sz w:val="18"/>
      <w:szCs w:val="18"/>
    </w:rPr>
  </w:style>
  <w:style w:type="character" w:customStyle="1" w:styleId="20">
    <w:name w:val="标题 字符"/>
    <w:basedOn w:val="8"/>
    <w:link w:val="5"/>
    <w:locked/>
    <w:uiPriority w:val="99"/>
    <w:rPr>
      <w:rFonts w:ascii="Calibri Light" w:hAnsi="Calibri Light" w:eastAsia="宋体" w:cs="Times New Roman"/>
      <w:color w:val="000000"/>
      <w:kern w:val="28"/>
      <w:sz w:val="20"/>
      <w:szCs w:val="20"/>
    </w:rPr>
  </w:style>
  <w:style w:type="table" w:customStyle="1" w:styleId="21">
    <w:name w:val="网格表 4 - 着色 21"/>
    <w:qFormat/>
    <w:uiPriority w:val="99"/>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广东工业大学</Company>
  <Pages>1</Pages>
  <Words>277</Words>
  <Characters>284</Characters>
  <Lines>1</Lines>
  <Paragraphs>1</Paragraphs>
  <TotalTime>23</TotalTime>
  <ScaleCrop>false</ScaleCrop>
  <LinksUpToDate>false</LinksUpToDate>
  <CharactersWithSpaces>286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2015-03-16T13:52:00Z</dcterms:created>
  <dc:creator>黄映焜</dc:creator>
  <cp:lastModifiedBy>Keep</cp:lastModifiedBy>
  <dcterms:modified xsi:type="dcterms:W3CDTF">2023-07-17T01:24:17Z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A2A869EB27C84E348A1CB75D73BC2332_13</vt:lpwstr>
  </property>
</Properties>
</file>