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32125" w14:textId="77777777" w:rsidR="00EA2DCF" w:rsidRDefault="009C3274">
      <w:pPr>
        <w:spacing w:before="960"/>
        <w:jc w:val="center"/>
      </w:pPr>
      <w:r>
        <w:rPr>
          <w:rFonts w:eastAsia="黑体"/>
          <w:b/>
          <w:sz w:val="36"/>
        </w:rPr>
        <w:t>学</w:t>
      </w:r>
      <w:r>
        <w:rPr>
          <w:rFonts w:eastAsia="黑体"/>
          <w:b/>
          <w:sz w:val="36"/>
        </w:rPr>
        <w:t xml:space="preserve"> </w:t>
      </w:r>
      <w:r>
        <w:rPr>
          <w:rFonts w:eastAsia="黑体"/>
          <w:b/>
          <w:sz w:val="36"/>
        </w:rPr>
        <w:t>术</w:t>
      </w:r>
      <w:r>
        <w:rPr>
          <w:rFonts w:eastAsia="黑体"/>
          <w:b/>
          <w:sz w:val="36"/>
        </w:rPr>
        <w:t xml:space="preserve"> </w:t>
      </w:r>
      <w:r>
        <w:rPr>
          <w:rFonts w:eastAsia="黑体"/>
          <w:b/>
          <w:sz w:val="36"/>
        </w:rPr>
        <w:t>技</w:t>
      </w:r>
      <w:r>
        <w:rPr>
          <w:rFonts w:eastAsia="黑体"/>
          <w:b/>
          <w:sz w:val="36"/>
        </w:rPr>
        <w:t xml:space="preserve"> </w:t>
      </w:r>
      <w:r>
        <w:rPr>
          <w:rFonts w:eastAsia="黑体"/>
          <w:b/>
          <w:sz w:val="36"/>
        </w:rPr>
        <w:t>术</w:t>
      </w:r>
      <w:r>
        <w:rPr>
          <w:rFonts w:eastAsia="黑体"/>
          <w:b/>
          <w:sz w:val="36"/>
        </w:rPr>
        <w:t xml:space="preserve"> </w:t>
      </w:r>
      <w:r>
        <w:rPr>
          <w:rFonts w:eastAsia="黑体"/>
          <w:b/>
          <w:sz w:val="36"/>
        </w:rPr>
        <w:t>报</w:t>
      </w:r>
      <w:r>
        <w:rPr>
          <w:rFonts w:eastAsia="黑体"/>
          <w:b/>
          <w:sz w:val="36"/>
        </w:rPr>
        <w:t xml:space="preserve"> </w:t>
      </w:r>
      <w:r>
        <w:rPr>
          <w:rFonts w:eastAsia="黑体"/>
          <w:b/>
          <w:sz w:val="36"/>
        </w:rPr>
        <w:t>告</w:t>
      </w:r>
    </w:p>
    <w:p w14:paraId="363B4CB4" w14:textId="77777777" w:rsidR="00EA2DCF" w:rsidRDefault="009C3274">
      <w:pPr>
        <w:spacing w:before="1080" w:after="360" w:line="640" w:lineRule="exact"/>
        <w:jc w:val="center"/>
      </w:pPr>
      <w:r>
        <w:rPr>
          <w:rFonts w:eastAsia="黑体"/>
          <w:b/>
          <w:sz w:val="44"/>
        </w:rPr>
        <w:t>近场磁耦合信能同传的</w:t>
      </w:r>
      <w:r>
        <w:rPr>
          <w:rFonts w:eastAsia="黑体"/>
          <w:b/>
          <w:sz w:val="44"/>
        </w:rPr>
        <w:br/>
      </w:r>
      <w:r>
        <w:rPr>
          <w:rFonts w:eastAsia="黑体"/>
          <w:b/>
          <w:sz w:val="44"/>
        </w:rPr>
        <w:t>信息调制深度与功率分割联合优化方法</w:t>
      </w:r>
    </w:p>
    <w:p w14:paraId="1BFA5B14" w14:textId="77777777" w:rsidR="00EA2DCF" w:rsidRDefault="009C3274">
      <w:pPr>
        <w:spacing w:before="160"/>
        <w:ind w:firstLine="0"/>
        <w:jc w:val="center"/>
      </w:pPr>
      <w:r>
        <w:t>作者：</w:t>
      </w:r>
      <w:r>
        <w:t>[</w:t>
      </w:r>
      <w:r>
        <w:t>姓名</w:t>
      </w:r>
      <w:r>
        <w:t>]</w:t>
      </w:r>
    </w:p>
    <w:p w14:paraId="6E84BEE4" w14:textId="77777777" w:rsidR="00EA2DCF" w:rsidRDefault="009C3274">
      <w:pPr>
        <w:spacing w:before="160"/>
        <w:ind w:firstLine="0"/>
        <w:jc w:val="center"/>
      </w:pPr>
      <w:r>
        <w:t>单位：</w:t>
      </w:r>
      <w:r>
        <w:t>[</w:t>
      </w:r>
      <w:r>
        <w:t>学校</w:t>
      </w:r>
      <w:r>
        <w:t xml:space="preserve"> / </w:t>
      </w:r>
      <w:r>
        <w:t>学院</w:t>
      </w:r>
      <w:r>
        <w:t xml:space="preserve"> / </w:t>
      </w:r>
      <w:r>
        <w:t>课题组</w:t>
      </w:r>
      <w:r>
        <w:t>]</w:t>
      </w:r>
    </w:p>
    <w:p w14:paraId="759C2C9B" w14:textId="77777777" w:rsidR="00EA2DCF" w:rsidRDefault="009C3274">
      <w:pPr>
        <w:spacing w:before="160"/>
        <w:ind w:firstLine="0"/>
        <w:jc w:val="center"/>
      </w:pPr>
      <w:r>
        <w:t>报告版本：</w:t>
      </w:r>
      <w:r>
        <w:t>[V1.0]</w:t>
      </w:r>
    </w:p>
    <w:p w14:paraId="03683936" w14:textId="77777777" w:rsidR="00EA2DCF" w:rsidRDefault="009C3274">
      <w:pPr>
        <w:spacing w:before="160"/>
        <w:ind w:firstLine="0"/>
        <w:jc w:val="center"/>
      </w:pPr>
      <w:r>
        <w:t>完成日期：</w:t>
      </w:r>
      <w:r>
        <w:t>[</w:t>
      </w:r>
      <w:r>
        <w:t>年</w:t>
      </w:r>
      <w:r>
        <w:t xml:space="preserve"> </w:t>
      </w:r>
      <w:r>
        <w:t>月</w:t>
      </w:r>
      <w:r>
        <w:t xml:space="preserve"> </w:t>
      </w:r>
      <w:r>
        <w:t>日</w:t>
      </w:r>
      <w:r>
        <w:t>]</w:t>
      </w:r>
    </w:p>
    <w:p w14:paraId="50678CAE" w14:textId="77777777" w:rsidR="00EA2DCF" w:rsidRDefault="00EA2DCF">
      <w:pPr>
        <w:sectPr w:rsidR="00EA2DCF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417" w:right="1191" w:bottom="1191" w:left="1191" w:header="850" w:footer="850" w:gutter="0"/>
          <w:cols w:space="720"/>
          <w:docGrid w:linePitch="360"/>
        </w:sectPr>
      </w:pPr>
    </w:p>
    <w:p w14:paraId="2F8CD4AA" w14:textId="77777777" w:rsidR="00EA2DCF" w:rsidRDefault="009C3274">
      <w:pPr>
        <w:pStyle w:val="1"/>
      </w:pPr>
      <w:bookmarkStart w:id="0" w:name="_Toc235289364"/>
      <w:r>
        <w:rPr>
          <w:rFonts w:ascii="Times New Roman" w:eastAsia="黑体" w:hAnsi="Times New Roman" w:cs="Times New Roman"/>
        </w:rPr>
        <w:t>摘</w:t>
      </w:r>
      <w:r>
        <w:rPr>
          <w:rFonts w:ascii="Times New Roman" w:eastAsia="黑体" w:hAnsi="Times New Roman" w:cs="Times New Roman"/>
        </w:rPr>
        <w:t xml:space="preserve">  </w:t>
      </w:r>
      <w:r>
        <w:rPr>
          <w:rFonts w:ascii="Times New Roman" w:eastAsia="黑体" w:hAnsi="Times New Roman" w:cs="Times New Roman"/>
        </w:rPr>
        <w:t>要</w:t>
      </w:r>
      <w:bookmarkEnd w:id="0"/>
    </w:p>
    <w:p w14:paraId="48C75559" w14:textId="77777777" w:rsidR="00EA2DCF" w:rsidRDefault="009C3274">
      <w:r>
        <w:t>【填写要求】用一段话依次说明研究问题、统一模型、优化变量、约束、求解方法和主要定量结果。没有获得仿真结果前，不填写改善百分比、最优参数或硬件能力。</w:t>
      </w:r>
    </w:p>
    <w:p w14:paraId="22221E23" w14:textId="77777777" w:rsidR="00EA2DCF" w:rsidRDefault="009C3274">
      <w:pPr>
        <w:pStyle w:val="aff9"/>
      </w:pPr>
      <w:r>
        <w:rPr>
          <w:b/>
        </w:rPr>
        <w:t>关键词：近场磁耦合；无线信能同传；功率分割；信息调制深度；联合优化</w:t>
      </w:r>
    </w:p>
    <w:p w14:paraId="11EAE049" w14:textId="77777777" w:rsidR="00EA2DCF" w:rsidRDefault="009C3274">
      <w:pPr>
        <w:pStyle w:val="1"/>
      </w:pPr>
      <w:bookmarkStart w:id="1" w:name="_Toc235289365"/>
      <w:r>
        <w:rPr>
          <w:rFonts w:ascii="Times New Roman" w:eastAsia="黑体" w:hAnsi="Times New Roman" w:cs="Times New Roman"/>
        </w:rPr>
        <w:t>Abstract</w:t>
      </w:r>
      <w:bookmarkEnd w:id="1"/>
    </w:p>
    <w:p w14:paraId="7AAB1381" w14:textId="77777777" w:rsidR="00EA2DCF" w:rsidRDefault="009C3274">
      <w:r>
        <w:t>[Write the English abstract after the Chinese version is final. Use 12-pt Times New Roman and keep all quantitative claims consistent.]</w:t>
      </w:r>
    </w:p>
    <w:p w14:paraId="1018248B" w14:textId="77777777" w:rsidR="00EA2DCF" w:rsidRDefault="009C3274">
      <w:pPr>
        <w:pStyle w:val="aff9"/>
      </w:pPr>
      <w:r>
        <w:rPr>
          <w:b/>
        </w:rPr>
        <w:t>Keywords: NF-SWIPT; power splitting; modulation depth; joint optimization</w:t>
      </w:r>
    </w:p>
    <w:p w14:paraId="093E9289" w14:textId="77777777" w:rsidR="00EA2DCF" w:rsidRDefault="009C3274">
      <w:pPr>
        <w:pStyle w:val="1"/>
        <w:pageBreakBefore/>
      </w:pPr>
      <w:bookmarkStart w:id="2" w:name="_Toc235289366"/>
      <w:r>
        <w:rPr>
          <w:rFonts w:ascii="Times New Roman" w:eastAsia="黑体" w:hAnsi="Times New Roman" w:cs="Times New Roman"/>
        </w:rPr>
        <w:t>目</w:t>
      </w:r>
      <w:r>
        <w:rPr>
          <w:rFonts w:ascii="Times New Roman" w:eastAsia="黑体" w:hAnsi="Times New Roman" w:cs="Times New Roman"/>
        </w:rPr>
        <w:t xml:space="preserve">  </w:t>
      </w:r>
      <w:r>
        <w:rPr>
          <w:rFonts w:ascii="Times New Roman" w:eastAsia="黑体" w:hAnsi="Times New Roman" w:cs="Times New Roman"/>
        </w:rPr>
        <w:t>录</w:t>
      </w:r>
      <w:bookmarkEnd w:id="2"/>
    </w:p>
    <w:p w14:paraId="47D1314F" w14:textId="73CD5D65" w:rsidR="004A08AE" w:rsidRDefault="009C3274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5289364" w:history="1">
        <w:r w:rsidR="004A08AE" w:rsidRPr="008B7221">
          <w:rPr>
            <w:rStyle w:val="afff"/>
            <w:rFonts w:eastAsia="黑体"/>
            <w:noProof/>
          </w:rPr>
          <w:t>摘</w:t>
        </w:r>
        <w:r w:rsidR="004A08AE" w:rsidRPr="008B7221">
          <w:rPr>
            <w:rStyle w:val="afff"/>
            <w:rFonts w:eastAsia="黑体"/>
            <w:noProof/>
          </w:rPr>
          <w:t xml:space="preserve">  </w:t>
        </w:r>
        <w:r w:rsidR="004A08AE" w:rsidRPr="008B7221">
          <w:rPr>
            <w:rStyle w:val="afff"/>
            <w:rFonts w:eastAsia="黑体"/>
            <w:noProof/>
          </w:rPr>
          <w:t>要</w:t>
        </w:r>
        <w:r w:rsidR="004A08AE">
          <w:rPr>
            <w:noProof/>
            <w:webHidden/>
          </w:rPr>
          <w:tab/>
        </w:r>
        <w:r w:rsidR="004A08AE">
          <w:rPr>
            <w:noProof/>
            <w:webHidden/>
          </w:rPr>
          <w:fldChar w:fldCharType="begin"/>
        </w:r>
        <w:r w:rsidR="004A08AE">
          <w:rPr>
            <w:noProof/>
            <w:webHidden/>
          </w:rPr>
          <w:instrText xml:space="preserve"> PAGEREF _Toc235289364 \h </w:instrText>
        </w:r>
        <w:r w:rsidR="004A08AE">
          <w:rPr>
            <w:noProof/>
            <w:webHidden/>
          </w:rPr>
        </w:r>
        <w:r w:rsidR="004A08AE">
          <w:rPr>
            <w:noProof/>
            <w:webHidden/>
          </w:rPr>
          <w:fldChar w:fldCharType="separate"/>
        </w:r>
        <w:r w:rsidR="004A08AE">
          <w:rPr>
            <w:noProof/>
            <w:webHidden/>
          </w:rPr>
          <w:t>2</w:t>
        </w:r>
        <w:r w:rsidR="004A08AE">
          <w:rPr>
            <w:noProof/>
            <w:webHidden/>
          </w:rPr>
          <w:fldChar w:fldCharType="end"/>
        </w:r>
      </w:hyperlink>
    </w:p>
    <w:p w14:paraId="3F5D7C91" w14:textId="0CB9B4C5" w:rsidR="004A08AE" w:rsidRDefault="004A08AE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89365" w:history="1">
        <w:r w:rsidRPr="008B7221">
          <w:rPr>
            <w:rStyle w:val="afff"/>
            <w:rFonts w:eastAsia="黑体"/>
            <w:noProof/>
          </w:rPr>
          <w:t>Abstract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_Toc235289365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0808A7D" w14:textId="21232575" w:rsidR="004A08AE" w:rsidRDefault="004A08AE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89366" w:history="1">
        <w:r w:rsidRPr="008B7221">
          <w:rPr>
            <w:rStyle w:val="afff"/>
            <w:rFonts w:eastAsia="黑体"/>
            <w:noProof/>
          </w:rPr>
          <w:t>目</w:t>
        </w:r>
        <w:r w:rsidRPr="008B7221">
          <w:rPr>
            <w:rStyle w:val="afff"/>
            <w:rFonts w:eastAsia="黑体"/>
            <w:noProof/>
          </w:rPr>
          <w:t xml:space="preserve">  </w:t>
        </w:r>
        <w:r w:rsidRPr="008B7221">
          <w:rPr>
            <w:rStyle w:val="afff"/>
            <w:rFonts w:eastAsia="黑体"/>
            <w:noProof/>
          </w:rPr>
          <w:t>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_Toc235289366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E4D9FA5" w14:textId="03A24D51" w:rsidR="004A08AE" w:rsidRDefault="004A08AE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89367" w:history="1">
        <w:r w:rsidRPr="008B7221">
          <w:rPr>
            <w:rStyle w:val="afff"/>
            <w:rFonts w:eastAsia="黑体"/>
            <w:noProof/>
          </w:rPr>
          <w:t xml:space="preserve">1 </w:t>
        </w:r>
        <w:r w:rsidRPr="008B7221">
          <w:rPr>
            <w:rStyle w:val="afff"/>
            <w:rFonts w:eastAsia="黑体"/>
            <w:noProof/>
          </w:rPr>
          <w:t>绪论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_Toc235289367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2F26CA9" w14:textId="436BC0A6" w:rsidR="004A08AE" w:rsidRDefault="004A08AE">
      <w:pPr>
        <w:pStyle w:val="TOC2"/>
        <w:tabs>
          <w:tab w:val="right" w:leader="dot" w:pos="9514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89368" w:history="1">
        <w:r w:rsidRPr="008B7221">
          <w:rPr>
            <w:rStyle w:val="afff"/>
            <w:rFonts w:eastAsia="黑体"/>
            <w:noProof/>
          </w:rPr>
          <w:t xml:space="preserve">1.1 </w:t>
        </w:r>
        <w:r w:rsidRPr="008B7221">
          <w:rPr>
            <w:rStyle w:val="afff"/>
            <w:rFonts w:eastAsia="黑体"/>
            <w:noProof/>
          </w:rPr>
          <w:t>研究背景与问题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_Toc235289368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93F6E08" w14:textId="4FE77627" w:rsidR="004A08AE" w:rsidRDefault="004A08AE">
      <w:pPr>
        <w:pStyle w:val="TOC2"/>
        <w:tabs>
          <w:tab w:val="right" w:leader="dot" w:pos="9514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89369" w:history="1">
        <w:r w:rsidRPr="008B7221">
          <w:rPr>
            <w:rStyle w:val="afff"/>
            <w:rFonts w:eastAsia="黑体"/>
            <w:noProof/>
          </w:rPr>
          <w:t xml:space="preserve">1.2 </w:t>
        </w:r>
        <w:r w:rsidRPr="008B7221">
          <w:rPr>
            <w:rStyle w:val="afff"/>
            <w:rFonts w:eastAsia="黑体"/>
            <w:noProof/>
          </w:rPr>
          <w:t>现有方法与本文贡献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_Toc235289369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16CEC31" w14:textId="6195FD74" w:rsidR="004A08AE" w:rsidRDefault="004A08AE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89370" w:history="1">
        <w:r w:rsidRPr="008B7221">
          <w:rPr>
            <w:rStyle w:val="afff"/>
            <w:rFonts w:eastAsia="黑体"/>
            <w:noProof/>
          </w:rPr>
          <w:t>2 NF-SWIPT</w:t>
        </w:r>
        <w:r w:rsidRPr="008B7221">
          <w:rPr>
            <w:rStyle w:val="afff"/>
            <w:rFonts w:eastAsia="黑体"/>
            <w:noProof/>
          </w:rPr>
          <w:t>系统模型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_Toc235289370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AADF1FD" w14:textId="14C38613" w:rsidR="004A08AE" w:rsidRDefault="004A08AE">
      <w:pPr>
        <w:pStyle w:val="TOC2"/>
        <w:tabs>
          <w:tab w:val="right" w:leader="dot" w:pos="9514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89371" w:history="1">
        <w:r w:rsidRPr="008B7221">
          <w:rPr>
            <w:rStyle w:val="afff"/>
            <w:rFonts w:eastAsia="黑体"/>
            <w:noProof/>
          </w:rPr>
          <w:t xml:space="preserve">2.1 </w:t>
        </w:r>
        <w:r w:rsidRPr="008B7221">
          <w:rPr>
            <w:rStyle w:val="afff"/>
            <w:rFonts w:eastAsia="黑体"/>
            <w:noProof/>
          </w:rPr>
          <w:t>系统架构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_Toc235289371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E2936BF" w14:textId="62DB4BCD" w:rsidR="004A08AE" w:rsidRDefault="004A08AE">
      <w:pPr>
        <w:pStyle w:val="TOC2"/>
        <w:tabs>
          <w:tab w:val="right" w:leader="dot" w:pos="9514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89372" w:history="1">
        <w:r w:rsidRPr="008B7221">
          <w:rPr>
            <w:rStyle w:val="afff"/>
            <w:rFonts w:eastAsia="黑体"/>
            <w:noProof/>
          </w:rPr>
          <w:t xml:space="preserve">2.2 </w:t>
        </w:r>
        <w:r w:rsidRPr="008B7221">
          <w:rPr>
            <w:rStyle w:val="afff"/>
            <w:rFonts w:eastAsia="黑体"/>
            <w:noProof/>
          </w:rPr>
          <w:t>发射信号与调制深度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_Toc235289372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E26344C" w14:textId="6DF45B67" w:rsidR="004A08AE" w:rsidRDefault="004A08AE">
      <w:pPr>
        <w:pStyle w:val="TOC2"/>
        <w:tabs>
          <w:tab w:val="right" w:leader="dot" w:pos="9514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89373" w:history="1">
        <w:r w:rsidRPr="008B7221">
          <w:rPr>
            <w:rStyle w:val="afff"/>
            <w:rFonts w:eastAsia="黑体"/>
            <w:noProof/>
          </w:rPr>
          <w:t xml:space="preserve">2.3 </w:t>
        </w:r>
        <w:r w:rsidRPr="008B7221">
          <w:rPr>
            <w:rStyle w:val="afff"/>
            <w:rFonts w:eastAsia="黑体"/>
            <w:noProof/>
          </w:rPr>
          <w:t>功率分割、能量采集与信息解调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_Toc235289373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2BA3" w14:textId="490124EE" w:rsidR="004A08AE" w:rsidRDefault="004A08AE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89374" w:history="1">
        <w:r w:rsidRPr="008B7221">
          <w:rPr>
            <w:rStyle w:val="afff"/>
            <w:rFonts w:eastAsia="黑体"/>
            <w:noProof/>
          </w:rPr>
          <w:t xml:space="preserve">3 </w:t>
        </w:r>
        <w:r w:rsidRPr="008B7221">
          <w:rPr>
            <w:rStyle w:val="afff"/>
            <w:rFonts w:eastAsia="黑体"/>
            <w:noProof/>
          </w:rPr>
          <w:t>信息调制深度与功率分割联合优化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_Toc235289374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9E3F8DC" w14:textId="34033C92" w:rsidR="004A08AE" w:rsidRDefault="004A08AE">
      <w:pPr>
        <w:pStyle w:val="TOC2"/>
        <w:tabs>
          <w:tab w:val="right" w:leader="dot" w:pos="9514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89375" w:history="1">
        <w:r w:rsidRPr="008B7221">
          <w:rPr>
            <w:rStyle w:val="afff"/>
            <w:rFonts w:eastAsia="黑体"/>
            <w:noProof/>
          </w:rPr>
          <w:t xml:space="preserve">3.1 </w:t>
        </w:r>
        <w:r w:rsidRPr="008B7221">
          <w:rPr>
            <w:rStyle w:val="afff"/>
            <w:rFonts w:eastAsia="黑体"/>
            <w:noProof/>
          </w:rPr>
          <w:t>优化目标与约束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_Toc235289375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9CEF84D" w14:textId="18CBBF1E" w:rsidR="004A08AE" w:rsidRDefault="004A08AE">
      <w:pPr>
        <w:pStyle w:val="TOC2"/>
        <w:tabs>
          <w:tab w:val="right" w:leader="dot" w:pos="9514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89376" w:history="1">
        <w:r w:rsidRPr="008B7221">
          <w:rPr>
            <w:rStyle w:val="afff"/>
            <w:rFonts w:eastAsia="黑体"/>
            <w:noProof/>
          </w:rPr>
          <w:t xml:space="preserve">3.2 </w:t>
        </w:r>
        <w:r w:rsidRPr="008B7221">
          <w:rPr>
            <w:rStyle w:val="afff"/>
            <w:rFonts w:eastAsia="黑体"/>
            <w:noProof/>
          </w:rPr>
          <w:t>求解流程与对比方法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_Toc235289376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418566C" w14:textId="6294579D" w:rsidR="004A08AE" w:rsidRDefault="004A08AE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89377" w:history="1">
        <w:r w:rsidRPr="008B7221">
          <w:rPr>
            <w:rStyle w:val="afff"/>
            <w:rFonts w:eastAsia="黑体"/>
            <w:noProof/>
          </w:rPr>
          <w:t xml:space="preserve">4 </w:t>
        </w:r>
        <w:r w:rsidRPr="008B7221">
          <w:rPr>
            <w:rStyle w:val="afff"/>
            <w:rFonts w:eastAsia="黑体"/>
            <w:noProof/>
          </w:rPr>
          <w:t>仿真结果与讨论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_Toc235289377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4B84CC5" w14:textId="3569233B" w:rsidR="004A08AE" w:rsidRDefault="004A08AE">
      <w:pPr>
        <w:pStyle w:val="TOC2"/>
        <w:tabs>
          <w:tab w:val="right" w:leader="dot" w:pos="9514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89378" w:history="1">
        <w:r w:rsidRPr="008B7221">
          <w:rPr>
            <w:rStyle w:val="afff"/>
            <w:rFonts w:eastAsia="黑体"/>
            <w:noProof/>
          </w:rPr>
          <w:t xml:space="preserve">4.1 </w:t>
        </w:r>
        <w:r w:rsidRPr="008B7221">
          <w:rPr>
            <w:rStyle w:val="afff"/>
            <w:rFonts w:eastAsia="黑体"/>
            <w:noProof/>
          </w:rPr>
          <w:t>仿真参数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_Toc235289378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D65EBBF" w14:textId="56379060" w:rsidR="004A08AE" w:rsidRDefault="004A08AE">
      <w:pPr>
        <w:pStyle w:val="TOC2"/>
        <w:tabs>
          <w:tab w:val="right" w:leader="dot" w:pos="9514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89379" w:history="1">
        <w:r w:rsidRPr="008B7221">
          <w:rPr>
            <w:rStyle w:val="afff"/>
            <w:rFonts w:eastAsia="黑体"/>
            <w:noProof/>
          </w:rPr>
          <w:t xml:space="preserve">4.2 </w:t>
        </w:r>
        <w:r w:rsidRPr="008B7221">
          <w:rPr>
            <w:rStyle w:val="afff"/>
            <w:rFonts w:eastAsia="黑体"/>
            <w:noProof/>
          </w:rPr>
          <w:t>功率分割比与调制深度的参数敏感性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_Toc235289379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A11D17B" w14:textId="28353F83" w:rsidR="004A08AE" w:rsidRDefault="004A08AE">
      <w:pPr>
        <w:pStyle w:val="TOC2"/>
        <w:tabs>
          <w:tab w:val="right" w:leader="dot" w:pos="9514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89380" w:history="1">
        <w:r w:rsidRPr="008B7221">
          <w:rPr>
            <w:rStyle w:val="afff"/>
            <w:rFonts w:eastAsia="黑体"/>
            <w:noProof/>
          </w:rPr>
          <w:t xml:space="preserve">4.3 </w:t>
        </w:r>
        <w:r w:rsidRPr="008B7221">
          <w:rPr>
            <w:rStyle w:val="afff"/>
            <w:rFonts w:eastAsia="黑体"/>
            <w:noProof/>
          </w:rPr>
          <w:t>不同距离下三种参数控制策略的性能比较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_Toc235289380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89E4661" w14:textId="29AE7CF2" w:rsidR="004A08AE" w:rsidRDefault="004A08AE">
      <w:pPr>
        <w:pStyle w:val="TOC2"/>
        <w:tabs>
          <w:tab w:val="right" w:leader="dot" w:pos="9514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89381" w:history="1">
        <w:r w:rsidRPr="008B7221">
          <w:rPr>
            <w:rStyle w:val="afff"/>
            <w:rFonts w:eastAsia="黑体"/>
            <w:noProof/>
          </w:rPr>
          <w:t xml:space="preserve">4.4 </w:t>
        </w:r>
        <w:r w:rsidRPr="008B7221">
          <w:rPr>
            <w:rStyle w:val="afff"/>
            <w:rFonts w:eastAsia="黑体"/>
            <w:noProof/>
          </w:rPr>
          <w:t>速率</w:t>
        </w:r>
        <w:r w:rsidRPr="008B7221">
          <w:rPr>
            <w:rStyle w:val="afff"/>
            <w:rFonts w:eastAsia="黑体"/>
            <w:noProof/>
          </w:rPr>
          <w:t>—</w:t>
        </w:r>
        <w:r w:rsidRPr="008B7221">
          <w:rPr>
            <w:rStyle w:val="afff"/>
            <w:rFonts w:eastAsia="黑体"/>
            <w:noProof/>
          </w:rPr>
          <w:t>能量</w:t>
        </w:r>
        <w:r w:rsidRPr="008B7221">
          <w:rPr>
            <w:rStyle w:val="afff"/>
            <w:rFonts w:eastAsia="黑体"/>
            <w:noProof/>
          </w:rPr>
          <w:t>Pareto</w:t>
        </w:r>
        <w:r w:rsidRPr="008B7221">
          <w:rPr>
            <w:rStyle w:val="afff"/>
            <w:rFonts w:eastAsia="黑体"/>
            <w:noProof/>
          </w:rPr>
          <w:t>前沿与推荐折中点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_Toc235289381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AFEEA40" w14:textId="54427526" w:rsidR="004A08AE" w:rsidRDefault="004A08AE">
      <w:pPr>
        <w:pStyle w:val="TOC2"/>
        <w:tabs>
          <w:tab w:val="right" w:leader="dot" w:pos="9514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89382" w:history="1">
        <w:r w:rsidRPr="008B7221">
          <w:rPr>
            <w:rStyle w:val="afff"/>
            <w:rFonts w:eastAsia="黑体"/>
            <w:noProof/>
          </w:rPr>
          <w:t xml:space="preserve">4.5 </w:t>
        </w:r>
        <w:r w:rsidRPr="008B7221">
          <w:rPr>
            <w:rStyle w:val="afff"/>
            <w:rFonts w:eastAsia="黑体"/>
            <w:noProof/>
          </w:rPr>
          <w:t>横向偏移与偏转角下的失配鲁棒性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_Toc235289382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06D928F" w14:textId="36775794" w:rsidR="004A08AE" w:rsidRDefault="004A08AE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89383" w:history="1">
        <w:r w:rsidRPr="008B7221">
          <w:rPr>
            <w:rStyle w:val="afff"/>
            <w:rFonts w:eastAsia="黑体"/>
            <w:noProof/>
          </w:rPr>
          <w:t xml:space="preserve">5 </w:t>
        </w:r>
        <w:r w:rsidRPr="008B7221">
          <w:rPr>
            <w:rStyle w:val="afff"/>
            <w:rFonts w:eastAsia="黑体"/>
            <w:noProof/>
          </w:rPr>
          <w:t>结论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_Toc235289383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69C54CA" w14:textId="6FED3BF7" w:rsidR="004A08AE" w:rsidRDefault="004A08AE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89384" w:history="1">
        <w:r w:rsidRPr="008B7221">
          <w:rPr>
            <w:rStyle w:val="afff"/>
            <w:rFonts w:eastAsia="黑体"/>
            <w:noProof/>
          </w:rPr>
          <w:t>参考文献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_Toc235289384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66D7EE3" w14:textId="6F503E3B" w:rsidR="004A08AE" w:rsidRDefault="004A08AE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89385" w:history="1">
        <w:r w:rsidRPr="008B7221">
          <w:rPr>
            <w:rStyle w:val="afff"/>
            <w:rFonts w:eastAsia="黑体"/>
            <w:noProof/>
          </w:rPr>
          <w:t>附录</w:t>
        </w:r>
        <w:r w:rsidRPr="008B7221">
          <w:rPr>
            <w:rStyle w:val="afff"/>
            <w:rFonts w:eastAsia="黑体"/>
            <w:noProof/>
          </w:rPr>
          <w:t xml:space="preserve">A </w:t>
        </w:r>
        <w:r w:rsidRPr="008B7221">
          <w:rPr>
            <w:rStyle w:val="afff"/>
            <w:rFonts w:eastAsia="黑体"/>
            <w:noProof/>
          </w:rPr>
          <w:t>交叉引用查看与更新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_Toc235289385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1A9721A" w14:textId="12722E3F" w:rsidR="004A08AE" w:rsidRDefault="004A08AE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89386" w:history="1">
        <w:r w:rsidRPr="008B7221">
          <w:rPr>
            <w:rStyle w:val="afff"/>
            <w:rFonts w:eastAsia="黑体"/>
            <w:noProof/>
          </w:rPr>
          <w:t>附录</w:t>
        </w:r>
        <w:r w:rsidRPr="008B7221">
          <w:rPr>
            <w:rStyle w:val="afff"/>
            <w:rFonts w:eastAsia="黑体"/>
            <w:noProof/>
          </w:rPr>
          <w:t xml:space="preserve">B </w:t>
        </w:r>
        <w:r w:rsidRPr="008B7221">
          <w:rPr>
            <w:rStyle w:val="afff"/>
            <w:rFonts w:eastAsia="黑体"/>
            <w:noProof/>
          </w:rPr>
          <w:t>统一排版规则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_Toc235289386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C8B2CA8" w14:textId="54EBF586" w:rsidR="004A08AE" w:rsidRDefault="004A08AE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89387" w:history="1">
        <w:r w:rsidRPr="008B7221">
          <w:rPr>
            <w:rStyle w:val="afff"/>
            <w:rFonts w:eastAsia="黑体"/>
            <w:noProof/>
          </w:rPr>
          <w:t>附录</w:t>
        </w:r>
        <w:r w:rsidRPr="008B7221">
          <w:rPr>
            <w:rStyle w:val="afff"/>
            <w:rFonts w:eastAsia="黑体"/>
            <w:noProof/>
          </w:rPr>
          <w:t xml:space="preserve">C </w:t>
        </w:r>
        <w:r w:rsidRPr="008B7221">
          <w:rPr>
            <w:rStyle w:val="afff"/>
            <w:rFonts w:eastAsia="黑体"/>
            <w:noProof/>
          </w:rPr>
          <w:t>规范依据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_Toc235289387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BEC0171" w14:textId="123D0160" w:rsidR="00EA2DCF" w:rsidRDefault="009C3274">
      <w:pPr>
        <w:ind w:firstLine="0"/>
      </w:pPr>
      <w:r>
        <w:fldChar w:fldCharType="end"/>
      </w:r>
    </w:p>
    <w:p w14:paraId="68001A59" w14:textId="77777777" w:rsidR="00EA2DCF" w:rsidRDefault="009C3274">
      <w:pPr>
        <w:pStyle w:val="1"/>
        <w:pageBreakBefore/>
      </w:pPr>
      <w:bookmarkStart w:id="3" w:name="_Toc235289367"/>
      <w:r>
        <w:rPr>
          <w:rFonts w:ascii="Times New Roman" w:eastAsia="黑体" w:hAnsi="Times New Roman" w:cs="Times New Roman"/>
        </w:rPr>
        <w:t xml:space="preserve">1 </w:t>
      </w:r>
      <w:r>
        <w:rPr>
          <w:rFonts w:ascii="Times New Roman" w:eastAsia="黑体" w:hAnsi="Times New Roman" w:cs="Times New Roman"/>
        </w:rPr>
        <w:t>绪论</w:t>
      </w:r>
      <w:bookmarkEnd w:id="3"/>
    </w:p>
    <w:p w14:paraId="66FFC16A" w14:textId="77777777" w:rsidR="00EA2DCF" w:rsidRDefault="009C3274">
      <w:pPr>
        <w:pStyle w:val="21"/>
      </w:pPr>
      <w:bookmarkStart w:id="4" w:name="_Toc235289368"/>
      <w:r>
        <w:rPr>
          <w:rFonts w:ascii="Times New Roman" w:eastAsia="黑体" w:hAnsi="Times New Roman" w:cs="Times New Roman"/>
        </w:rPr>
        <w:t xml:space="preserve">1.1 </w:t>
      </w:r>
      <w:r>
        <w:rPr>
          <w:rFonts w:ascii="Times New Roman" w:eastAsia="黑体" w:hAnsi="Times New Roman" w:cs="Times New Roman"/>
        </w:rPr>
        <w:t>研究背景与问题</w:t>
      </w:r>
      <w:bookmarkEnd w:id="4"/>
    </w:p>
    <w:p w14:paraId="7CABEDB9" w14:textId="77777777" w:rsidR="00EA2DCF" w:rsidRDefault="009C3274">
      <w:r>
        <w:t>【填写】交代近场磁耦合信能同传的应用场景、现有资源分配矛盾，以及功率分割比</w:t>
      </w:r>
      <w:r>
        <w:t>ρ</w:t>
      </w:r>
      <w:r>
        <w:t>和信息调制深度</w:t>
      </w:r>
      <w:r>
        <w:t>μ</w:t>
      </w:r>
      <w:r>
        <w:t>为什么需要协同设计。</w:t>
      </w:r>
    </w:p>
    <w:p w14:paraId="6ACBD9D3" w14:textId="3A3D6594" w:rsidR="00EA2DCF" w:rsidRDefault="009C3274">
      <w:r>
        <w:t>文献引用示例：相关理论背景参见文献</w:t>
      </w:r>
      <w:r>
        <w:fldChar w:fldCharType="begin"/>
      </w:r>
      <w:r>
        <w:instrText xml:space="preserve"> REF ref_1 \h </w:instrText>
      </w:r>
      <w:r>
        <w:fldChar w:fldCharType="separate"/>
      </w:r>
      <w:r w:rsidR="004A08AE">
        <w:t>[</w:t>
      </w:r>
      <w:r w:rsidR="004A08AE">
        <w:rPr>
          <w:noProof/>
        </w:rPr>
        <w:t>1</w:t>
      </w:r>
      <w:r w:rsidR="004A08AE">
        <w:t>]</w:t>
      </w:r>
      <w:r>
        <w:fldChar w:fldCharType="end"/>
      </w:r>
      <w:r>
        <w:t>。正文中的文献编号必须使用交叉引用，不得手工键入。</w:t>
      </w:r>
    </w:p>
    <w:p w14:paraId="29706B2A" w14:textId="77777777" w:rsidR="00EA2DCF" w:rsidRDefault="009C3274">
      <w:pPr>
        <w:pStyle w:val="21"/>
      </w:pPr>
      <w:bookmarkStart w:id="5" w:name="_Toc235289369"/>
      <w:r>
        <w:rPr>
          <w:rFonts w:ascii="Times New Roman" w:eastAsia="黑体" w:hAnsi="Times New Roman" w:cs="Times New Roman"/>
        </w:rPr>
        <w:t xml:space="preserve">1.2 </w:t>
      </w:r>
      <w:r>
        <w:rPr>
          <w:rFonts w:ascii="Times New Roman" w:eastAsia="黑体" w:hAnsi="Times New Roman" w:cs="Times New Roman"/>
        </w:rPr>
        <w:t>现有方法与本文贡献</w:t>
      </w:r>
      <w:bookmarkEnd w:id="5"/>
    </w:p>
    <w:p w14:paraId="58CBF94E" w14:textId="77777777" w:rsidR="00EA2DCF" w:rsidRDefault="009C3274">
      <w:pPr>
        <w:pStyle w:val="aff9"/>
        <w:ind w:left="482" w:hanging="482"/>
      </w:pPr>
      <w:r>
        <w:t>（</w:t>
      </w:r>
      <w:r>
        <w:t>1</w:t>
      </w:r>
      <w:r>
        <w:t>）建立线圈</w:t>
      </w:r>
      <w:r>
        <w:t>—</w:t>
      </w:r>
      <w:r>
        <w:t>谐振</w:t>
      </w:r>
      <w:r>
        <w:t>—</w:t>
      </w:r>
      <w:r>
        <w:t>互感</w:t>
      </w:r>
      <w:r>
        <w:t>—</w:t>
      </w:r>
      <w:r>
        <w:t>接收功率</w:t>
      </w:r>
      <w:r>
        <w:t>—EH/ID</w:t>
      </w:r>
      <w:r>
        <w:t>指标的统一模型；</w:t>
      </w:r>
    </w:p>
    <w:p w14:paraId="24281761" w14:textId="77777777" w:rsidR="00EA2DCF" w:rsidRDefault="009C3274">
      <w:pPr>
        <w:pStyle w:val="aff9"/>
        <w:ind w:left="482" w:hanging="482"/>
      </w:pPr>
      <w:r>
        <w:t>（</w:t>
      </w:r>
      <w:r>
        <w:t>2</w:t>
      </w:r>
      <w:r>
        <w:t>）分析</w:t>
      </w:r>
      <w:r>
        <w:t>ρ</w:t>
      </w:r>
      <w:r>
        <w:t>和</w:t>
      </w:r>
      <w:r>
        <w:t>μ</w:t>
      </w:r>
      <w:r>
        <w:t>分别对采集功率、信息速率、</w:t>
      </w:r>
      <w:r>
        <w:t>BER</w:t>
      </w:r>
      <w:r>
        <w:t>与能量波动的影响；</w:t>
      </w:r>
    </w:p>
    <w:p w14:paraId="3115A940" w14:textId="77777777" w:rsidR="00EA2DCF" w:rsidRDefault="009C3274">
      <w:pPr>
        <w:pStyle w:val="aff9"/>
        <w:ind w:left="482" w:hanging="482"/>
      </w:pPr>
      <w:r>
        <w:t>（</w:t>
      </w:r>
      <w:r>
        <w:t>3</w:t>
      </w:r>
      <w:r>
        <w:t>）构建带约束的</w:t>
      </w:r>
      <w:r>
        <w:t>ρ–μ</w:t>
      </w:r>
      <w:r>
        <w:t>联合优化问题，并与</w:t>
      </w:r>
      <w:r>
        <w:t>Fixed</w:t>
      </w:r>
      <w:r>
        <w:t>和</w:t>
      </w:r>
      <w:r>
        <w:t>PS-only</w:t>
      </w:r>
      <w:r>
        <w:t>进行公平对比；</w:t>
      </w:r>
    </w:p>
    <w:p w14:paraId="270ABAE4" w14:textId="77777777" w:rsidR="00EA2DCF" w:rsidRDefault="009C3274">
      <w:pPr>
        <w:pStyle w:val="aff9"/>
        <w:ind w:left="482" w:hanging="482"/>
      </w:pPr>
      <w:r>
        <w:t>（</w:t>
      </w:r>
      <w:r>
        <w:t>4</w:t>
      </w:r>
      <w:r>
        <w:t>）通过距离扫描、速率</w:t>
      </w:r>
      <w:r>
        <w:t>—</w:t>
      </w:r>
      <w:r>
        <w:t>能量权衡和失配鲁棒性验证方法。</w:t>
      </w:r>
    </w:p>
    <w:p w14:paraId="61B090F9" w14:textId="77777777" w:rsidR="00EA2DCF" w:rsidRDefault="009C3274">
      <w:pPr>
        <w:pStyle w:val="1"/>
        <w:pageBreakBefore/>
      </w:pPr>
      <w:bookmarkStart w:id="6" w:name="_Toc235289370"/>
      <w:r>
        <w:rPr>
          <w:rFonts w:ascii="Times New Roman" w:eastAsia="黑体" w:hAnsi="Times New Roman" w:cs="Times New Roman"/>
        </w:rPr>
        <w:t>2 NF-SWIPT</w:t>
      </w:r>
      <w:r>
        <w:rPr>
          <w:rFonts w:ascii="Times New Roman" w:eastAsia="黑体" w:hAnsi="Times New Roman" w:cs="Times New Roman"/>
        </w:rPr>
        <w:t>系统模型</w:t>
      </w:r>
      <w:bookmarkEnd w:id="6"/>
    </w:p>
    <w:p w14:paraId="4DB6799F" w14:textId="77777777" w:rsidR="00EA2DCF" w:rsidRDefault="009C3274">
      <w:pPr>
        <w:pStyle w:val="21"/>
      </w:pPr>
      <w:bookmarkStart w:id="7" w:name="_Toc235289371"/>
      <w:r>
        <w:rPr>
          <w:rFonts w:ascii="Times New Roman" w:eastAsia="黑体" w:hAnsi="Times New Roman" w:cs="Times New Roman"/>
        </w:rPr>
        <w:t xml:space="preserve">2.1 </w:t>
      </w:r>
      <w:r>
        <w:rPr>
          <w:rFonts w:ascii="Times New Roman" w:eastAsia="黑体" w:hAnsi="Times New Roman" w:cs="Times New Roman"/>
        </w:rPr>
        <w:t>系统架构</w:t>
      </w:r>
      <w:bookmarkEnd w:id="7"/>
    </w:p>
    <w:p w14:paraId="6C64A871" w14:textId="77777777" w:rsidR="00EA2DCF" w:rsidRDefault="009C3274">
      <w:pPr>
        <w:keepNext/>
        <w:pBdr>
          <w:bottom w:val="single" w:sz="4" w:space="1" w:color="B7B7B7"/>
        </w:pBdr>
        <w:shd w:val="clear" w:color="auto" w:fill="F2F3F5"/>
        <w:spacing w:before="120" w:after="80"/>
        <w:ind w:firstLine="0"/>
        <w:jc w:val="center"/>
      </w:pPr>
      <w:r>
        <w:rPr>
          <w:color w:val="666666"/>
        </w:rPr>
        <w:br/>
      </w:r>
      <w:r>
        <w:rPr>
          <w:color w:val="666666"/>
        </w:rPr>
        <w:t>在此插入系统架构图（建议矢量</w:t>
      </w:r>
      <w:r>
        <w:rPr>
          <w:color w:val="666666"/>
        </w:rPr>
        <w:t xml:space="preserve"> PDF / SVG</w:t>
      </w:r>
      <w:r>
        <w:rPr>
          <w:color w:val="666666"/>
        </w:rPr>
        <w:t>，或</w:t>
      </w:r>
      <w:r>
        <w:rPr>
          <w:color w:val="666666"/>
        </w:rPr>
        <w:t xml:space="preserve"> 300 dpi PNG</w:t>
      </w:r>
      <w:r>
        <w:rPr>
          <w:color w:val="666666"/>
        </w:rPr>
        <w:t>）</w:t>
      </w:r>
      <w:r>
        <w:rPr>
          <w:color w:val="666666"/>
        </w:rPr>
        <w:br/>
      </w:r>
    </w:p>
    <w:p w14:paraId="6C9EF587" w14:textId="116AF278" w:rsidR="00EA2DCF" w:rsidRDefault="009C3274">
      <w:pPr>
        <w:pStyle w:val="af7"/>
        <w:keepNext/>
      </w:pPr>
      <w:r>
        <w:t>图</w:t>
      </w:r>
      <w:bookmarkStart w:id="8" w:name="fig_2_1"/>
      <w:r>
        <w:t>2-</w:t>
      </w:r>
      <w:r>
        <w:fldChar w:fldCharType="begin"/>
      </w:r>
      <w:r>
        <w:instrText xml:space="preserve"> SEQ Figure \r 1 </w:instrText>
      </w:r>
      <w:r>
        <w:fldChar w:fldCharType="separate"/>
      </w:r>
      <w:r w:rsidR="004A08AE">
        <w:rPr>
          <w:noProof/>
        </w:rPr>
        <w:t>1</w:t>
      </w:r>
      <w:r>
        <w:fldChar w:fldCharType="end"/>
      </w:r>
      <w:bookmarkEnd w:id="8"/>
      <w:r>
        <w:t>（</w:t>
      </w:r>
      <w:r>
        <w:t>Fig. 2-1</w:t>
      </w:r>
      <w:r>
        <w:t>）</w:t>
      </w:r>
      <w:r>
        <w:t xml:space="preserve"> </w:t>
      </w:r>
      <w:r>
        <w:t>近场磁耦合</w:t>
      </w:r>
      <w:r>
        <w:t>NF-SWIPT</w:t>
      </w:r>
      <w:r>
        <w:t>系统架构</w:t>
      </w:r>
    </w:p>
    <w:p w14:paraId="293E2D43" w14:textId="37A17FBC" w:rsidR="00EA2DCF" w:rsidRDefault="009C3274">
      <w:r>
        <w:t>系统组成与信号流如图</w:t>
      </w:r>
      <w:r>
        <w:fldChar w:fldCharType="begin"/>
      </w:r>
      <w:r>
        <w:instrText xml:space="preserve"> REF fig_2_1 \h </w:instrText>
      </w:r>
      <w:r>
        <w:fldChar w:fldCharType="separate"/>
      </w:r>
      <w:r w:rsidR="004A08AE">
        <w:rPr>
          <w:sz w:val="21"/>
        </w:rPr>
        <w:t>2-</w:t>
      </w:r>
      <w:r w:rsidR="004A08AE">
        <w:rPr>
          <w:noProof/>
        </w:rPr>
        <w:t>1</w:t>
      </w:r>
      <w:r>
        <w:fldChar w:fldCharType="end"/>
      </w:r>
      <w:r>
        <w:t>所示。正文引用必须通过</w:t>
      </w:r>
      <w:r>
        <w:t>“</w:t>
      </w:r>
      <w:r>
        <w:t>插入</w:t>
      </w:r>
      <w:r>
        <w:t>→</w:t>
      </w:r>
      <w:r>
        <w:t>交叉引用</w:t>
      </w:r>
      <w:r>
        <w:t>”</w:t>
      </w:r>
      <w:r>
        <w:t>建立，不手工输入图号。</w:t>
      </w:r>
    </w:p>
    <w:p w14:paraId="515B287F" w14:textId="77777777" w:rsidR="00EA2DCF" w:rsidRDefault="009C3274">
      <w:pPr>
        <w:pStyle w:val="affb"/>
      </w:pPr>
      <w:r>
        <w:t>图后解释（每张结果图都保留）</w:t>
      </w:r>
    </w:p>
    <w:p w14:paraId="312D8314" w14:textId="77777777" w:rsidR="00EA2DCF" w:rsidRDefault="009C3274">
      <w:pPr>
        <w:pStyle w:val="affa"/>
        <w:spacing w:before="0" w:after="0"/>
        <w:ind w:left="482" w:hanging="482"/>
      </w:pPr>
      <w:r>
        <w:t>（</w:t>
      </w:r>
      <w:r>
        <w:t>1</w:t>
      </w:r>
      <w:r>
        <w:t>）坐标与对象：说明横、纵坐标及单位、扫描范围，并解释颜色、线型与标记。</w:t>
      </w:r>
    </w:p>
    <w:p w14:paraId="3A0A622B" w14:textId="77777777" w:rsidR="00EA2DCF" w:rsidRDefault="009C3274">
      <w:pPr>
        <w:pStyle w:val="affa"/>
        <w:spacing w:before="0" w:after="0"/>
        <w:ind w:left="482" w:hanging="482"/>
      </w:pPr>
      <w:r>
        <w:t>（</w:t>
      </w:r>
      <w:r>
        <w:t>2</w:t>
      </w:r>
      <w:r>
        <w:t>）计算依据：列出对应公式、固定参数、扫描变量与算法设置，保证可复现。</w:t>
      </w:r>
    </w:p>
    <w:p w14:paraId="3B64E589" w14:textId="77777777" w:rsidR="00EA2DCF" w:rsidRDefault="009C3274">
      <w:pPr>
        <w:pStyle w:val="affa"/>
        <w:spacing w:before="0" w:after="0"/>
        <w:ind w:left="482" w:hanging="482"/>
      </w:pPr>
      <w:r>
        <w:t>（</w:t>
      </w:r>
      <w:r>
        <w:t>3</w:t>
      </w:r>
      <w:r>
        <w:t>）主要趋势：说明上升、下降、饱和或拐点，并给出物理或数学原因。</w:t>
      </w:r>
    </w:p>
    <w:p w14:paraId="28C69169" w14:textId="77777777" w:rsidR="00EA2DCF" w:rsidRDefault="009C3274">
      <w:pPr>
        <w:pStyle w:val="affa"/>
        <w:spacing w:before="0" w:after="0"/>
        <w:ind w:left="482" w:hanging="482"/>
      </w:pPr>
      <w:r>
        <w:t>（</w:t>
      </w:r>
      <w:r>
        <w:t>4</w:t>
      </w:r>
      <w:r>
        <w:t>）方法对比：在同一场景下定量比较</w:t>
      </w:r>
      <w:r>
        <w:t xml:space="preserve"> Fixed</w:t>
      </w:r>
      <w:r>
        <w:t>、</w:t>
      </w:r>
      <w:r>
        <w:t xml:space="preserve">PS-only </w:t>
      </w:r>
      <w:r>
        <w:t>与</w:t>
      </w:r>
      <w:r>
        <w:t xml:space="preserve"> Joint PS-MD</w:t>
      </w:r>
      <w:r>
        <w:t>。</w:t>
      </w:r>
    </w:p>
    <w:p w14:paraId="64C53E69" w14:textId="77777777" w:rsidR="00EA2DCF" w:rsidRDefault="009C3274">
      <w:pPr>
        <w:pStyle w:val="affa"/>
        <w:spacing w:before="0" w:after="0"/>
        <w:ind w:left="482" w:hanging="482"/>
      </w:pPr>
      <w:r>
        <w:t>（</w:t>
      </w:r>
      <w:r>
        <w:t>5</w:t>
      </w:r>
      <w:r>
        <w:t>）结论与价值：只陈述本图支持的结论，不外推为硬件实验结论。</w:t>
      </w:r>
    </w:p>
    <w:p w14:paraId="7DF8371B" w14:textId="77777777" w:rsidR="00EA2DCF" w:rsidRDefault="009C3274">
      <w:pPr>
        <w:pStyle w:val="affa"/>
        <w:spacing w:before="0" w:after="0"/>
        <w:ind w:left="482" w:hanging="482"/>
      </w:pPr>
      <w:r>
        <w:t>（</w:t>
      </w:r>
      <w:r>
        <w:t>6</w:t>
      </w:r>
      <w:r>
        <w:t>）适用边界：说明功分、整流、相干检测、噪声模型及参数范围等假设。</w:t>
      </w:r>
    </w:p>
    <w:p w14:paraId="3666F567" w14:textId="77777777" w:rsidR="00EA2DCF" w:rsidRDefault="009C3274">
      <w:pPr>
        <w:pStyle w:val="21"/>
      </w:pPr>
      <w:bookmarkStart w:id="9" w:name="_Toc235289372"/>
      <w:r>
        <w:rPr>
          <w:rFonts w:ascii="Times New Roman" w:eastAsia="黑体" w:hAnsi="Times New Roman" w:cs="Times New Roman"/>
        </w:rPr>
        <w:t xml:space="preserve">2.2 </w:t>
      </w:r>
      <w:r>
        <w:rPr>
          <w:rFonts w:ascii="Times New Roman" w:eastAsia="黑体" w:hAnsi="Times New Roman" w:cs="Times New Roman"/>
        </w:rPr>
        <w:t>发射信号与调制深度</w:t>
      </w:r>
      <w:bookmarkEnd w:id="9"/>
    </w:p>
    <w:p w14:paraId="26E14E28" w14:textId="378A0B1D" w:rsidR="00EA2DCF" w:rsidRDefault="009C3274">
      <w:pPr>
        <w:pStyle w:val="affd"/>
        <w:tabs>
          <w:tab w:val="right" w:pos="9524"/>
        </w:tabs>
      </w:pPr>
      <w:r>
        <w:t>iₜ(t)=I₀[1+μs(t)]/√(1+μ²) · cos(2πfct),  s(t)∈{−1,+1}</w:t>
      </w:r>
      <w:r>
        <w:tab/>
      </w:r>
      <w:r>
        <w:t>（</w:t>
      </w:r>
      <w:bookmarkStart w:id="10" w:name="eq_2_1"/>
      <w:r>
        <w:t>2-</w:t>
      </w:r>
      <w:r>
        <w:fldChar w:fldCharType="begin"/>
      </w:r>
      <w:r>
        <w:instrText xml:space="preserve"> SEQ Equation \r 1 </w:instrText>
      </w:r>
      <w:r>
        <w:fldChar w:fldCharType="separate"/>
      </w:r>
      <w:r w:rsidR="004A08AE">
        <w:rPr>
          <w:noProof/>
        </w:rPr>
        <w:t>1</w:t>
      </w:r>
      <w:r>
        <w:fldChar w:fldCharType="end"/>
      </w:r>
      <w:bookmarkEnd w:id="10"/>
      <w:r>
        <w:t>）</w:t>
      </w:r>
    </w:p>
    <w:p w14:paraId="2C8010ED" w14:textId="77777777" w:rsidR="00EA2DCF" w:rsidRDefault="009C3274">
      <w:r>
        <w:t>式中，</w:t>
      </w:r>
      <w:r>
        <w:t>I₀</w:t>
      </w:r>
      <w:r>
        <w:t>为基准峰值电流，</w:t>
      </w:r>
      <w:r>
        <w:t>μ</w:t>
      </w:r>
      <w:r>
        <w:t>为信息调制深度，</w:t>
      </w:r>
      <w:r>
        <w:t>s(t)</w:t>
      </w:r>
      <w:r>
        <w:t>为二进制基带符号，</w:t>
      </w:r>
      <w:r>
        <w:t>fc</w:t>
      </w:r>
      <w:r>
        <w:t>为载波频率。归一化因子用于在改变</w:t>
      </w:r>
      <w:r>
        <w:t>μ</w:t>
      </w:r>
      <w:r>
        <w:t>时维持平均电流平方基准一致。</w:t>
      </w:r>
    </w:p>
    <w:p w14:paraId="48161702" w14:textId="77777777" w:rsidR="00EA2DCF" w:rsidRDefault="009C3274">
      <w:pPr>
        <w:pStyle w:val="21"/>
      </w:pPr>
      <w:bookmarkStart w:id="11" w:name="_Toc235289373"/>
      <w:r>
        <w:rPr>
          <w:rFonts w:ascii="Times New Roman" w:eastAsia="黑体" w:hAnsi="Times New Roman" w:cs="Times New Roman"/>
        </w:rPr>
        <w:t xml:space="preserve">2.3 </w:t>
      </w:r>
      <w:r>
        <w:rPr>
          <w:rFonts w:ascii="Times New Roman" w:eastAsia="黑体" w:hAnsi="Times New Roman" w:cs="Times New Roman"/>
        </w:rPr>
        <w:t>功率分割、能量采集与信息解调</w:t>
      </w:r>
      <w:bookmarkEnd w:id="11"/>
    </w:p>
    <w:p w14:paraId="127D8970" w14:textId="387BBF38" w:rsidR="00EA2DCF" w:rsidRDefault="009C3274">
      <w:pPr>
        <w:pStyle w:val="affd"/>
        <w:tabs>
          <w:tab w:val="right" w:pos="9524"/>
        </w:tabs>
      </w:pPr>
      <w:r>
        <w:t>P_EH=ηρP</w:t>
      </w:r>
      <w:r>
        <w:t>ᵣ</w:t>
      </w:r>
      <w:r>
        <w:t>,    P_ID=(1−ρ)P</w:t>
      </w:r>
      <w:r>
        <w:t>ᵣ</w:t>
      </w:r>
      <w:r>
        <w:tab/>
      </w:r>
      <w:r>
        <w:t>（</w:t>
      </w:r>
      <w:bookmarkStart w:id="12" w:name="eq_2_2"/>
      <w:r>
        <w:t>2-</w:t>
      </w:r>
      <w:r>
        <w:fldChar w:fldCharType="begin"/>
      </w:r>
      <w:r>
        <w:instrText xml:space="preserve"> SEQ Equation \n </w:instrText>
      </w:r>
      <w:r>
        <w:fldChar w:fldCharType="separate"/>
      </w:r>
      <w:r w:rsidR="004A08AE">
        <w:rPr>
          <w:noProof/>
        </w:rPr>
        <w:t>2</w:t>
      </w:r>
      <w:r>
        <w:fldChar w:fldCharType="end"/>
      </w:r>
      <w:bookmarkEnd w:id="12"/>
      <w:r>
        <w:t>）</w:t>
      </w:r>
    </w:p>
    <w:p w14:paraId="750E3BC4" w14:textId="4F7BD620" w:rsidR="00EA2DCF" w:rsidRDefault="009C3274">
      <w:pPr>
        <w:pStyle w:val="affd"/>
        <w:tabs>
          <w:tab w:val="right" w:pos="9524"/>
        </w:tabs>
      </w:pPr>
      <w:r>
        <w:t>SNR=P_sig/N_ID,    R=B·log₂(1+SNR),    BER=0.5·erfc(√SNR)</w:t>
      </w:r>
      <w:r>
        <w:tab/>
      </w:r>
      <w:r>
        <w:t>（</w:t>
      </w:r>
      <w:bookmarkStart w:id="13" w:name="eq_2_3"/>
      <w:r>
        <w:t>2-</w:t>
      </w:r>
      <w:r>
        <w:fldChar w:fldCharType="begin"/>
      </w:r>
      <w:r>
        <w:instrText xml:space="preserve"> SEQ Equation \n </w:instrText>
      </w:r>
      <w:r>
        <w:fldChar w:fldCharType="separate"/>
      </w:r>
      <w:r w:rsidR="004A08AE">
        <w:rPr>
          <w:noProof/>
        </w:rPr>
        <w:t>3</w:t>
      </w:r>
      <w:r>
        <w:fldChar w:fldCharType="end"/>
      </w:r>
      <w:bookmarkEnd w:id="13"/>
      <w:r>
        <w:t>）</w:t>
      </w:r>
    </w:p>
    <w:p w14:paraId="3E17C33E" w14:textId="69C037DB" w:rsidR="00EA2DCF" w:rsidRDefault="009C3274">
      <w:r>
        <w:t>发射信号模型见式（</w:t>
      </w:r>
      <w:r>
        <w:fldChar w:fldCharType="begin"/>
      </w:r>
      <w:r>
        <w:instrText xml:space="preserve"> REF eq_2_1 \h </w:instrText>
      </w:r>
      <w:r>
        <w:fldChar w:fldCharType="separate"/>
      </w:r>
      <w:r w:rsidR="004A08AE">
        <w:rPr>
          <w:rFonts w:ascii="Cambria Math" w:hAnsi="Cambria Math" w:cs="Cambria Math"/>
        </w:rPr>
        <w:t>2-</w:t>
      </w:r>
      <w:r w:rsidR="004A08AE">
        <w:rPr>
          <w:noProof/>
        </w:rPr>
        <w:t>1</w:t>
      </w:r>
      <w:r>
        <w:fldChar w:fldCharType="end"/>
      </w:r>
      <w:r>
        <w:t>），功率分割关系见式（</w:t>
      </w:r>
      <w:r>
        <w:fldChar w:fldCharType="begin"/>
      </w:r>
      <w:r>
        <w:instrText xml:space="preserve"> REF eq_2_2 \h </w:instrText>
      </w:r>
      <w:r>
        <w:fldChar w:fldCharType="separate"/>
      </w:r>
      <w:r w:rsidR="004A08AE">
        <w:rPr>
          <w:rFonts w:ascii="Cambria Math" w:hAnsi="Cambria Math" w:cs="Cambria Math"/>
        </w:rPr>
        <w:t>2-</w:t>
      </w:r>
      <w:r w:rsidR="004A08AE">
        <w:rPr>
          <w:noProof/>
        </w:rPr>
        <w:t>2</w:t>
      </w:r>
      <w:r>
        <w:fldChar w:fldCharType="end"/>
      </w:r>
      <w:r>
        <w:t>），通信指标见式（</w:t>
      </w:r>
      <w:r>
        <w:fldChar w:fldCharType="begin"/>
      </w:r>
      <w:r>
        <w:instrText xml:space="preserve"> REF eq_2_3 \h </w:instrText>
      </w:r>
      <w:r>
        <w:fldChar w:fldCharType="separate"/>
      </w:r>
      <w:r w:rsidR="004A08AE">
        <w:rPr>
          <w:rFonts w:ascii="Cambria Math" w:hAnsi="Cambria Math" w:cs="Cambria Math"/>
        </w:rPr>
        <w:t>2-</w:t>
      </w:r>
      <w:r w:rsidR="004A08AE">
        <w:rPr>
          <w:noProof/>
        </w:rPr>
        <w:t>3</w:t>
      </w:r>
      <w:r>
        <w:fldChar w:fldCharType="end"/>
      </w:r>
      <w:r>
        <w:t>）。</w:t>
      </w:r>
    </w:p>
    <w:p w14:paraId="30A9F0E0" w14:textId="77777777" w:rsidR="00EA2DCF" w:rsidRDefault="009C3274">
      <w:r>
        <w:t>公式后必须解释变量、单位、适用假设和物理含义；不得只给公式而不说明</w:t>
      </w:r>
      <w:r>
        <w:t>ρ</w:t>
      </w:r>
      <w:r>
        <w:t>如何在</w:t>
      </w:r>
      <w:r>
        <w:t>EH</w:t>
      </w:r>
      <w:r>
        <w:t>与</w:t>
      </w:r>
      <w:r>
        <w:t>ID</w:t>
      </w:r>
      <w:r>
        <w:t>支路之间分配接收功率。</w:t>
      </w:r>
    </w:p>
    <w:p w14:paraId="028A8291" w14:textId="77777777" w:rsidR="00EA2DCF" w:rsidRDefault="009C3274">
      <w:pPr>
        <w:pStyle w:val="1"/>
        <w:pageBreakBefore/>
      </w:pPr>
      <w:bookmarkStart w:id="14" w:name="_Toc235289374"/>
      <w:r>
        <w:rPr>
          <w:rFonts w:ascii="Times New Roman" w:eastAsia="黑体" w:hAnsi="Times New Roman" w:cs="Times New Roman"/>
        </w:rPr>
        <w:t xml:space="preserve">3 </w:t>
      </w:r>
      <w:r>
        <w:rPr>
          <w:rFonts w:ascii="Times New Roman" w:eastAsia="黑体" w:hAnsi="Times New Roman" w:cs="Times New Roman"/>
        </w:rPr>
        <w:t>信息调制深度与功率分割联合优化</w:t>
      </w:r>
      <w:bookmarkEnd w:id="14"/>
    </w:p>
    <w:p w14:paraId="16BFA934" w14:textId="77777777" w:rsidR="00EA2DCF" w:rsidRDefault="009C3274">
      <w:pPr>
        <w:pStyle w:val="21"/>
      </w:pPr>
      <w:bookmarkStart w:id="15" w:name="_Toc235289375"/>
      <w:r>
        <w:rPr>
          <w:rFonts w:ascii="Times New Roman" w:eastAsia="黑体" w:hAnsi="Times New Roman" w:cs="Times New Roman"/>
        </w:rPr>
        <w:t xml:space="preserve">3.1 </w:t>
      </w:r>
      <w:r>
        <w:rPr>
          <w:rFonts w:ascii="Times New Roman" w:eastAsia="黑体" w:hAnsi="Times New Roman" w:cs="Times New Roman"/>
        </w:rPr>
        <w:t>优化目标与约束</w:t>
      </w:r>
      <w:bookmarkEnd w:id="15"/>
    </w:p>
    <w:p w14:paraId="51CAF008" w14:textId="40CE4CD9" w:rsidR="00EA2DCF" w:rsidRDefault="009C3274">
      <w:pPr>
        <w:pStyle w:val="affd"/>
        <w:tabs>
          <w:tab w:val="right" w:pos="9524"/>
        </w:tabs>
      </w:pPr>
      <w:r>
        <w:t>max U(ρ,μ)=w_R·R̃+w_E·P̃_EH−w_V·CṼ</w:t>
      </w:r>
      <w:r>
        <w:tab/>
      </w:r>
      <w:r>
        <w:t>（</w:t>
      </w:r>
      <w:bookmarkStart w:id="16" w:name="eq_3_1"/>
      <w:r>
        <w:t>3-</w:t>
      </w:r>
      <w:r>
        <w:fldChar w:fldCharType="begin"/>
      </w:r>
      <w:r>
        <w:instrText xml:space="preserve"> SEQ Equation \r 1 </w:instrText>
      </w:r>
      <w:r>
        <w:fldChar w:fldCharType="separate"/>
      </w:r>
      <w:r w:rsidR="004A08AE">
        <w:rPr>
          <w:noProof/>
        </w:rPr>
        <w:t>1</w:t>
      </w:r>
      <w:r>
        <w:fldChar w:fldCharType="end"/>
      </w:r>
      <w:bookmarkEnd w:id="16"/>
      <w:r>
        <w:t>）</w:t>
      </w:r>
    </w:p>
    <w:p w14:paraId="71673FF7" w14:textId="1C1E397A" w:rsidR="00EA2DCF" w:rsidRDefault="009C3274">
      <w:pPr>
        <w:pStyle w:val="affd"/>
        <w:tabs>
          <w:tab w:val="right" w:pos="9524"/>
        </w:tabs>
      </w:pPr>
      <w:r>
        <w:t>P_EH≥P_min,  BER≤BER_max,  I_peak≤I_max,  0&lt;ρ&lt;1,  μ_min≤μ≤μ_max</w:t>
      </w:r>
      <w:r>
        <w:tab/>
      </w:r>
      <w:r>
        <w:t>（</w:t>
      </w:r>
      <w:bookmarkStart w:id="17" w:name="eq_3_2"/>
      <w:r>
        <w:t>3-</w:t>
      </w:r>
      <w:r>
        <w:fldChar w:fldCharType="begin"/>
      </w:r>
      <w:r>
        <w:instrText xml:space="preserve"> SEQ Equation \n </w:instrText>
      </w:r>
      <w:r>
        <w:fldChar w:fldCharType="separate"/>
      </w:r>
      <w:r w:rsidR="004A08AE">
        <w:rPr>
          <w:noProof/>
        </w:rPr>
        <w:t>2</w:t>
      </w:r>
      <w:r>
        <w:fldChar w:fldCharType="end"/>
      </w:r>
      <w:bookmarkEnd w:id="17"/>
      <w:r>
        <w:t>）</w:t>
      </w:r>
    </w:p>
    <w:p w14:paraId="210DD780" w14:textId="77777777" w:rsidR="00EA2DCF" w:rsidRDefault="009C3274">
      <w:r>
        <w:t>说明每项约束在论文模型中的作用，并明确</w:t>
      </w:r>
      <w:r>
        <w:t>“</w:t>
      </w:r>
      <w:r>
        <w:t>不可行</w:t>
      </w:r>
      <w:r>
        <w:t>”</w:t>
      </w:r>
      <w:r>
        <w:t>表示该工作点未同时满足研究约束，不表示物理公式无法计算。</w:t>
      </w:r>
    </w:p>
    <w:p w14:paraId="2B110B37" w14:textId="77777777" w:rsidR="00EA2DCF" w:rsidRDefault="009C3274">
      <w:pPr>
        <w:pStyle w:val="21"/>
      </w:pPr>
      <w:bookmarkStart w:id="18" w:name="_Toc235289376"/>
      <w:r>
        <w:rPr>
          <w:rFonts w:ascii="Times New Roman" w:eastAsia="黑体" w:hAnsi="Times New Roman" w:cs="Times New Roman"/>
        </w:rPr>
        <w:t xml:space="preserve">3.2 </w:t>
      </w:r>
      <w:r>
        <w:rPr>
          <w:rFonts w:ascii="Times New Roman" w:eastAsia="黑体" w:hAnsi="Times New Roman" w:cs="Times New Roman"/>
        </w:rPr>
        <w:t>求解流程与对比方法</w:t>
      </w:r>
      <w:bookmarkEnd w:id="18"/>
    </w:p>
    <w:p w14:paraId="47E7FBEC" w14:textId="77777777" w:rsidR="00EA2DCF" w:rsidRDefault="009C3274">
      <w:r>
        <w:t>【填写】给出优化算法、变量边界、种群规模或网格点数、随机种子、停止条件和确定性复核方式。</w:t>
      </w:r>
      <w:r>
        <w:t>Fixed</w:t>
      </w:r>
      <w:r>
        <w:t>、</w:t>
      </w:r>
      <w:r>
        <w:t>PS-only</w:t>
      </w:r>
      <w:r>
        <w:t>与</w:t>
      </w:r>
      <w:r>
        <w:t>Joint PS-MD</w:t>
      </w:r>
      <w:r>
        <w:t>必须共用同一物理模型、噪声和约束。</w:t>
      </w:r>
    </w:p>
    <w:p w14:paraId="29B85664" w14:textId="77777777" w:rsidR="00EA2DCF" w:rsidRDefault="009C3274">
      <w:pPr>
        <w:pStyle w:val="1"/>
        <w:pageBreakBefore/>
      </w:pPr>
      <w:bookmarkStart w:id="19" w:name="_Toc235289377"/>
      <w:r>
        <w:rPr>
          <w:rFonts w:ascii="Times New Roman" w:eastAsia="黑体" w:hAnsi="Times New Roman" w:cs="Times New Roman"/>
        </w:rPr>
        <w:t xml:space="preserve">4 </w:t>
      </w:r>
      <w:r>
        <w:rPr>
          <w:rFonts w:ascii="Times New Roman" w:eastAsia="黑体" w:hAnsi="Times New Roman" w:cs="Times New Roman"/>
        </w:rPr>
        <w:t>仿真结果与讨论</w:t>
      </w:r>
      <w:bookmarkEnd w:id="19"/>
    </w:p>
    <w:p w14:paraId="1FD70303" w14:textId="77777777" w:rsidR="00EA2DCF" w:rsidRDefault="009C3274">
      <w:pPr>
        <w:pStyle w:val="21"/>
      </w:pPr>
      <w:bookmarkStart w:id="20" w:name="_Toc235289378"/>
      <w:r>
        <w:rPr>
          <w:rFonts w:ascii="Times New Roman" w:eastAsia="黑体" w:hAnsi="Times New Roman" w:cs="Times New Roman"/>
        </w:rPr>
        <w:t xml:space="preserve">4.1 </w:t>
      </w:r>
      <w:r>
        <w:rPr>
          <w:rFonts w:ascii="Times New Roman" w:eastAsia="黑体" w:hAnsi="Times New Roman" w:cs="Times New Roman"/>
        </w:rPr>
        <w:t>仿真参数</w:t>
      </w:r>
      <w:bookmarkEnd w:id="20"/>
    </w:p>
    <w:p w14:paraId="169B44E9" w14:textId="7A3EEB1D" w:rsidR="00EA2DCF" w:rsidRDefault="009C3274">
      <w:pPr>
        <w:pStyle w:val="af7"/>
        <w:keepNext/>
      </w:pPr>
      <w:r>
        <w:t>表</w:t>
      </w:r>
      <w:bookmarkStart w:id="21" w:name="tab_4_1"/>
      <w:r>
        <w:t>4-</w:t>
      </w:r>
      <w:r>
        <w:fldChar w:fldCharType="begin"/>
      </w:r>
      <w:r>
        <w:instrText xml:space="preserve"> SEQ Table \r 1 </w:instrText>
      </w:r>
      <w:r>
        <w:fldChar w:fldCharType="separate"/>
      </w:r>
      <w:r w:rsidR="004A08AE">
        <w:rPr>
          <w:noProof/>
        </w:rPr>
        <w:t>1</w:t>
      </w:r>
      <w:r>
        <w:fldChar w:fldCharType="end"/>
      </w:r>
      <w:bookmarkEnd w:id="21"/>
      <w:r>
        <w:t>（</w:t>
      </w:r>
      <w:r>
        <w:t>Table 4-1</w:t>
      </w:r>
      <w:r>
        <w:t>）</w:t>
      </w:r>
      <w:r>
        <w:t xml:space="preserve"> NF-SWIPT</w:t>
      </w:r>
      <w:r>
        <w:t>系统主要仿真参数</w:t>
      </w:r>
    </w:p>
    <w:tbl>
      <w:tblPr>
        <w:tblW w:w="9524" w:type="dxa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955"/>
        <w:gridCol w:w="1360"/>
        <w:gridCol w:w="1445"/>
        <w:gridCol w:w="1190"/>
        <w:gridCol w:w="3574"/>
      </w:tblGrid>
      <w:tr w:rsidR="00EA2DCF" w14:paraId="29486A8B" w14:textId="77777777">
        <w:trPr>
          <w:tblHeader/>
          <w:jc w:val="center"/>
        </w:trPr>
        <w:tc>
          <w:tcPr>
            <w:tcW w:w="1955" w:type="dxa"/>
            <w:tcBorders>
              <w:bottom w:val="single" w:sz="8" w:space="0" w:color="000000"/>
            </w:tcBorders>
            <w:shd w:val="clear" w:color="auto" w:fill="ECEF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AF68AC" w14:textId="77777777" w:rsidR="00EA2DCF" w:rsidRDefault="009C3274"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参数</w:t>
            </w:r>
          </w:p>
        </w:tc>
        <w:tc>
          <w:tcPr>
            <w:tcW w:w="1360" w:type="dxa"/>
            <w:tcBorders>
              <w:bottom w:val="single" w:sz="8" w:space="0" w:color="000000"/>
            </w:tcBorders>
            <w:shd w:val="clear" w:color="auto" w:fill="ECEF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4F7A02" w14:textId="77777777" w:rsidR="00EA2DCF" w:rsidRDefault="009C3274"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符号</w:t>
            </w:r>
          </w:p>
        </w:tc>
        <w:tc>
          <w:tcPr>
            <w:tcW w:w="1445" w:type="dxa"/>
            <w:tcBorders>
              <w:bottom w:val="single" w:sz="8" w:space="0" w:color="000000"/>
            </w:tcBorders>
            <w:shd w:val="clear" w:color="auto" w:fill="ECEF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086B4D" w14:textId="77777777" w:rsidR="00EA2DCF" w:rsidRDefault="009C3274"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数值</w:t>
            </w:r>
          </w:p>
        </w:tc>
        <w:tc>
          <w:tcPr>
            <w:tcW w:w="1190" w:type="dxa"/>
            <w:tcBorders>
              <w:bottom w:val="single" w:sz="8" w:space="0" w:color="000000"/>
            </w:tcBorders>
            <w:shd w:val="clear" w:color="auto" w:fill="ECEF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095B3D" w14:textId="77777777" w:rsidR="00EA2DCF" w:rsidRDefault="009C3274"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单位</w:t>
            </w:r>
          </w:p>
        </w:tc>
        <w:tc>
          <w:tcPr>
            <w:tcW w:w="3574" w:type="dxa"/>
            <w:tcBorders>
              <w:bottom w:val="single" w:sz="8" w:space="0" w:color="000000"/>
            </w:tcBorders>
            <w:shd w:val="clear" w:color="auto" w:fill="ECEF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FE0D13" w14:textId="77777777" w:rsidR="00EA2DCF" w:rsidRDefault="009C3274"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来源</w:t>
            </w:r>
            <w:r>
              <w:rPr>
                <w:b/>
                <w:sz w:val="21"/>
              </w:rPr>
              <w:t>/</w:t>
            </w:r>
            <w:r>
              <w:rPr>
                <w:b/>
                <w:sz w:val="21"/>
              </w:rPr>
              <w:t>说明</w:t>
            </w:r>
          </w:p>
        </w:tc>
      </w:tr>
      <w:tr w:rsidR="00EA2DCF" w14:paraId="3BD9EB54" w14:textId="77777777">
        <w:trPr>
          <w:jc w:val="center"/>
        </w:trPr>
        <w:tc>
          <w:tcPr>
            <w:tcW w:w="195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2C2BC3" w14:textId="77777777" w:rsidR="00EA2DCF" w:rsidRDefault="009C327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载波频率</w:t>
            </w:r>
          </w:p>
        </w:tc>
        <w:tc>
          <w:tcPr>
            <w:tcW w:w="1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97CCCD" w14:textId="77777777" w:rsidR="00EA2DCF" w:rsidRDefault="009C327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f_c</w:t>
            </w:r>
          </w:p>
        </w:tc>
        <w:tc>
          <w:tcPr>
            <w:tcW w:w="14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98C311" w14:textId="77777777" w:rsidR="00EA2DCF" w:rsidRDefault="009C327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填写</w:t>
            </w:r>
            <w:r>
              <w:rPr>
                <w:sz w:val="21"/>
              </w:rPr>
              <w:t>]</w:t>
            </w:r>
          </w:p>
        </w:tc>
        <w:tc>
          <w:tcPr>
            <w:tcW w:w="119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8040E9" w14:textId="77777777" w:rsidR="00EA2DCF" w:rsidRDefault="009C327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MHz</w:t>
            </w:r>
          </w:p>
        </w:tc>
        <w:tc>
          <w:tcPr>
            <w:tcW w:w="35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470D67" w14:textId="77777777" w:rsidR="00EA2DCF" w:rsidRDefault="009C327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模型设定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文献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实测</w:t>
            </w:r>
          </w:p>
        </w:tc>
      </w:tr>
      <w:tr w:rsidR="00EA2DCF" w14:paraId="27FC0536" w14:textId="77777777">
        <w:trPr>
          <w:jc w:val="center"/>
        </w:trPr>
        <w:tc>
          <w:tcPr>
            <w:tcW w:w="195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25D739" w14:textId="77777777" w:rsidR="00EA2DCF" w:rsidRDefault="009C327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发射电流</w:t>
            </w:r>
          </w:p>
        </w:tc>
        <w:tc>
          <w:tcPr>
            <w:tcW w:w="1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BE7A26" w14:textId="77777777" w:rsidR="00EA2DCF" w:rsidRDefault="009C327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I_0</w:t>
            </w:r>
          </w:p>
        </w:tc>
        <w:tc>
          <w:tcPr>
            <w:tcW w:w="14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60F8D7" w14:textId="77777777" w:rsidR="00EA2DCF" w:rsidRDefault="009C327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填写</w:t>
            </w:r>
            <w:r>
              <w:rPr>
                <w:sz w:val="21"/>
              </w:rPr>
              <w:t>]</w:t>
            </w:r>
          </w:p>
        </w:tc>
        <w:tc>
          <w:tcPr>
            <w:tcW w:w="119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3745D1" w14:textId="77777777" w:rsidR="00EA2DCF" w:rsidRDefault="009C327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A</w:t>
            </w:r>
          </w:p>
        </w:tc>
        <w:tc>
          <w:tcPr>
            <w:tcW w:w="35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7E4A7B" w14:textId="77777777" w:rsidR="00EA2DCF" w:rsidRDefault="009C327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模型设定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实测</w:t>
            </w:r>
          </w:p>
        </w:tc>
      </w:tr>
      <w:tr w:rsidR="00EA2DCF" w14:paraId="67404269" w14:textId="77777777">
        <w:trPr>
          <w:jc w:val="center"/>
        </w:trPr>
        <w:tc>
          <w:tcPr>
            <w:tcW w:w="195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60A8C2" w14:textId="77777777" w:rsidR="00EA2DCF" w:rsidRDefault="009C327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功率分割比</w:t>
            </w:r>
          </w:p>
        </w:tc>
        <w:tc>
          <w:tcPr>
            <w:tcW w:w="1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36E089" w14:textId="77777777" w:rsidR="00EA2DCF" w:rsidRDefault="009C327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ρ</w:t>
            </w:r>
          </w:p>
        </w:tc>
        <w:tc>
          <w:tcPr>
            <w:tcW w:w="14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50BB3E" w14:textId="77777777" w:rsidR="00EA2DCF" w:rsidRDefault="009C327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填写</w:t>
            </w:r>
            <w:r>
              <w:rPr>
                <w:sz w:val="21"/>
              </w:rPr>
              <w:t>]</w:t>
            </w:r>
          </w:p>
        </w:tc>
        <w:tc>
          <w:tcPr>
            <w:tcW w:w="119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2BFA55" w14:textId="77777777" w:rsidR="00EA2DCF" w:rsidRDefault="009C327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—</w:t>
            </w:r>
          </w:p>
        </w:tc>
        <w:tc>
          <w:tcPr>
            <w:tcW w:w="35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2F93A7" w14:textId="77777777" w:rsidR="00EA2DCF" w:rsidRDefault="009C327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固定值或优化范围</w:t>
            </w:r>
          </w:p>
        </w:tc>
      </w:tr>
      <w:tr w:rsidR="00EA2DCF" w14:paraId="083A9971" w14:textId="77777777">
        <w:trPr>
          <w:jc w:val="center"/>
        </w:trPr>
        <w:tc>
          <w:tcPr>
            <w:tcW w:w="195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40A0B2" w14:textId="77777777" w:rsidR="00EA2DCF" w:rsidRDefault="009C327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调制深度</w:t>
            </w:r>
          </w:p>
        </w:tc>
        <w:tc>
          <w:tcPr>
            <w:tcW w:w="1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618B60" w14:textId="77777777" w:rsidR="00EA2DCF" w:rsidRDefault="009C327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μ</w:t>
            </w:r>
          </w:p>
        </w:tc>
        <w:tc>
          <w:tcPr>
            <w:tcW w:w="14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2CE35A" w14:textId="77777777" w:rsidR="00EA2DCF" w:rsidRDefault="009C327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填写</w:t>
            </w:r>
            <w:r>
              <w:rPr>
                <w:sz w:val="21"/>
              </w:rPr>
              <w:t>]</w:t>
            </w:r>
          </w:p>
        </w:tc>
        <w:tc>
          <w:tcPr>
            <w:tcW w:w="119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1AC8BD" w14:textId="77777777" w:rsidR="00EA2DCF" w:rsidRDefault="009C327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—</w:t>
            </w:r>
          </w:p>
        </w:tc>
        <w:tc>
          <w:tcPr>
            <w:tcW w:w="35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93DAB9" w14:textId="77777777" w:rsidR="00EA2DCF" w:rsidRDefault="009C327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固定值或优化范围</w:t>
            </w:r>
          </w:p>
        </w:tc>
      </w:tr>
    </w:tbl>
    <w:p w14:paraId="4B1D3A4C" w14:textId="5A65C3DC" w:rsidR="00EA2DCF" w:rsidRDefault="009C3274">
      <w:r>
        <w:t>主要仿真参数见表</w:t>
      </w:r>
      <w:r>
        <w:fldChar w:fldCharType="begin"/>
      </w:r>
      <w:r>
        <w:instrText xml:space="preserve"> REF tab_4_1 \h </w:instrText>
      </w:r>
      <w:r>
        <w:fldChar w:fldCharType="separate"/>
      </w:r>
      <w:r w:rsidR="004A08AE">
        <w:rPr>
          <w:sz w:val="21"/>
        </w:rPr>
        <w:t>4-</w:t>
      </w:r>
      <w:r w:rsidR="004A08AE">
        <w:rPr>
          <w:noProof/>
        </w:rPr>
        <w:t>1</w:t>
      </w:r>
      <w:r>
        <w:fldChar w:fldCharType="end"/>
      </w:r>
      <w:r>
        <w:t>。表后应说明参数来源，并区分理论假设、公开文献、默认设定和实测输入。</w:t>
      </w:r>
    </w:p>
    <w:p w14:paraId="3B5262EE" w14:textId="77777777" w:rsidR="00EA2DCF" w:rsidRDefault="009C3274">
      <w:pPr>
        <w:pStyle w:val="21"/>
      </w:pPr>
      <w:bookmarkStart w:id="22" w:name="_Toc235289379"/>
      <w:r>
        <w:rPr>
          <w:rFonts w:ascii="Times New Roman" w:eastAsia="黑体" w:hAnsi="Times New Roman" w:cs="Times New Roman"/>
        </w:rPr>
        <w:t xml:space="preserve">4.2 </w:t>
      </w:r>
      <w:r>
        <w:rPr>
          <w:rFonts w:ascii="Times New Roman" w:eastAsia="黑体" w:hAnsi="Times New Roman" w:cs="Times New Roman"/>
        </w:rPr>
        <w:t>功率分割比与调制深度的参数敏感性</w:t>
      </w:r>
      <w:bookmarkEnd w:id="22"/>
    </w:p>
    <w:p w14:paraId="62AA1ED3" w14:textId="77777777" w:rsidR="00EA2DCF" w:rsidRDefault="009C3274">
      <w:pPr>
        <w:keepNext/>
        <w:pBdr>
          <w:bottom w:val="single" w:sz="4" w:space="1" w:color="B7B7B7"/>
        </w:pBdr>
        <w:shd w:val="clear" w:color="auto" w:fill="F2F3F5"/>
        <w:spacing w:before="120" w:after="80"/>
        <w:ind w:firstLine="0"/>
        <w:jc w:val="center"/>
      </w:pPr>
      <w:r>
        <w:rPr>
          <w:color w:val="666666"/>
        </w:rPr>
        <w:br/>
      </w:r>
      <w:r>
        <w:rPr>
          <w:color w:val="666666"/>
        </w:rPr>
        <w:t>在此插入图</w:t>
      </w:r>
      <w:r>
        <w:rPr>
          <w:color w:val="666666"/>
        </w:rPr>
        <w:t>4-1</w:t>
      </w:r>
      <w:r>
        <w:rPr>
          <w:color w:val="666666"/>
        </w:rPr>
        <w:br/>
      </w:r>
    </w:p>
    <w:p w14:paraId="336D60BE" w14:textId="5ED79C57" w:rsidR="00EA2DCF" w:rsidRDefault="009C3274">
      <w:pPr>
        <w:pStyle w:val="af7"/>
        <w:keepNext/>
      </w:pPr>
      <w:r>
        <w:t>图</w:t>
      </w:r>
      <w:bookmarkStart w:id="23" w:name="fig_4_1"/>
      <w:r>
        <w:t>4-</w:t>
      </w:r>
      <w:r>
        <w:fldChar w:fldCharType="begin"/>
      </w:r>
      <w:r>
        <w:instrText xml:space="preserve"> SEQ Figure \r 1 </w:instrText>
      </w:r>
      <w:r>
        <w:fldChar w:fldCharType="separate"/>
      </w:r>
      <w:r w:rsidR="004A08AE">
        <w:rPr>
          <w:noProof/>
        </w:rPr>
        <w:t>1</w:t>
      </w:r>
      <w:r>
        <w:fldChar w:fldCharType="end"/>
      </w:r>
      <w:bookmarkEnd w:id="23"/>
      <w:r>
        <w:t>（</w:t>
      </w:r>
      <w:r>
        <w:t>Fig. 4-1</w:t>
      </w:r>
      <w:r>
        <w:t>）</w:t>
      </w:r>
      <w:r>
        <w:t xml:space="preserve"> </w:t>
      </w:r>
      <w:r>
        <w:t>功率分割比与调制深度的参数敏感性</w:t>
      </w:r>
    </w:p>
    <w:p w14:paraId="06251592" w14:textId="0DCDDC40" w:rsidR="00EA2DCF" w:rsidRDefault="009C3274">
      <w:pPr>
        <w:keepNext/>
      </w:pPr>
      <w:r>
        <w:t>图</w:t>
      </w:r>
      <w:r>
        <w:fldChar w:fldCharType="begin"/>
      </w:r>
      <w:r>
        <w:instrText xml:space="preserve"> REF fig_4_1 \h </w:instrText>
      </w:r>
      <w:r>
        <w:fldChar w:fldCharType="separate"/>
      </w:r>
      <w:r w:rsidR="004A08AE">
        <w:rPr>
          <w:sz w:val="21"/>
        </w:rPr>
        <w:t>4-</w:t>
      </w:r>
      <w:r w:rsidR="004A08AE">
        <w:rPr>
          <w:noProof/>
        </w:rPr>
        <w:t>1</w:t>
      </w:r>
      <w:r>
        <w:fldChar w:fldCharType="end"/>
      </w:r>
      <w:r>
        <w:t>的图示重点：分别解释</w:t>
      </w:r>
      <w:r>
        <w:t>ρ</w:t>
      </w:r>
      <w:r>
        <w:t>和</w:t>
      </w:r>
      <w:r>
        <w:t>μ</w:t>
      </w:r>
      <w:r>
        <w:t>对能量、速率、</w:t>
      </w:r>
      <w:r>
        <w:t>BER</w:t>
      </w:r>
      <w:r>
        <w:t>和波动代价的作用。</w:t>
      </w:r>
    </w:p>
    <w:p w14:paraId="57B92C86" w14:textId="77777777" w:rsidR="00EA2DCF" w:rsidRDefault="009C3274">
      <w:pPr>
        <w:pStyle w:val="affb"/>
      </w:pPr>
      <w:r>
        <w:t>图后解释（每张结果图都保留）</w:t>
      </w:r>
    </w:p>
    <w:p w14:paraId="75EDEA24" w14:textId="77777777" w:rsidR="00EA2DCF" w:rsidRDefault="009C3274">
      <w:pPr>
        <w:pStyle w:val="affa"/>
        <w:spacing w:before="0" w:after="0"/>
        <w:ind w:left="482" w:hanging="482"/>
      </w:pPr>
      <w:r>
        <w:t>（</w:t>
      </w:r>
      <w:r>
        <w:t>1</w:t>
      </w:r>
      <w:r>
        <w:t>）坐标与对象：说明横、纵坐标及单位、扫描范围，并解释颜色、线型与标记。</w:t>
      </w:r>
    </w:p>
    <w:p w14:paraId="433C62A3" w14:textId="77777777" w:rsidR="00EA2DCF" w:rsidRDefault="009C3274">
      <w:pPr>
        <w:pStyle w:val="affa"/>
        <w:spacing w:before="0" w:after="0"/>
        <w:ind w:left="482" w:hanging="482"/>
      </w:pPr>
      <w:r>
        <w:t>（</w:t>
      </w:r>
      <w:r>
        <w:t>2</w:t>
      </w:r>
      <w:r>
        <w:t>）计算依据：列出对应公式、固定参数、扫描变量与算法设置，保证可复现。</w:t>
      </w:r>
    </w:p>
    <w:p w14:paraId="7EA0CEEB" w14:textId="77777777" w:rsidR="00EA2DCF" w:rsidRDefault="009C3274">
      <w:pPr>
        <w:pStyle w:val="affa"/>
        <w:spacing w:before="0" w:after="0"/>
        <w:ind w:left="482" w:hanging="482"/>
      </w:pPr>
      <w:r>
        <w:t>（</w:t>
      </w:r>
      <w:r>
        <w:t>3</w:t>
      </w:r>
      <w:r>
        <w:t>）主要趋势：说明上升、下降、饱和或拐点，并给出物理或数学原因。</w:t>
      </w:r>
    </w:p>
    <w:p w14:paraId="7A2F070D" w14:textId="77777777" w:rsidR="00EA2DCF" w:rsidRDefault="009C3274">
      <w:pPr>
        <w:pStyle w:val="affa"/>
        <w:spacing w:before="0" w:after="0"/>
        <w:ind w:left="482" w:hanging="482"/>
      </w:pPr>
      <w:r>
        <w:t>（</w:t>
      </w:r>
      <w:r>
        <w:t>4</w:t>
      </w:r>
      <w:r>
        <w:t>）方法对比：在同一场景下定量比较</w:t>
      </w:r>
      <w:r>
        <w:t xml:space="preserve"> Fixed</w:t>
      </w:r>
      <w:r>
        <w:t>、</w:t>
      </w:r>
      <w:r>
        <w:t xml:space="preserve">PS-only </w:t>
      </w:r>
      <w:r>
        <w:t>与</w:t>
      </w:r>
      <w:r>
        <w:t xml:space="preserve"> Joint PS-MD</w:t>
      </w:r>
      <w:r>
        <w:t>。</w:t>
      </w:r>
    </w:p>
    <w:p w14:paraId="792E7D53" w14:textId="77777777" w:rsidR="00EA2DCF" w:rsidRDefault="009C3274">
      <w:pPr>
        <w:pStyle w:val="affa"/>
        <w:spacing w:before="0" w:after="0"/>
        <w:ind w:left="482" w:hanging="482"/>
      </w:pPr>
      <w:r>
        <w:t>（</w:t>
      </w:r>
      <w:r>
        <w:t>5</w:t>
      </w:r>
      <w:r>
        <w:t>）结论与价值：只陈述本图支持的结论，不外推为硬件实验结论。</w:t>
      </w:r>
    </w:p>
    <w:p w14:paraId="078ABFE2" w14:textId="77777777" w:rsidR="00EA2DCF" w:rsidRDefault="009C3274">
      <w:pPr>
        <w:pStyle w:val="affa"/>
        <w:spacing w:before="0" w:after="0"/>
        <w:ind w:left="482" w:hanging="482"/>
      </w:pPr>
      <w:r>
        <w:t>（</w:t>
      </w:r>
      <w:r>
        <w:t>6</w:t>
      </w:r>
      <w:r>
        <w:t>）适用边界：说明功分、整流、相干检测、噪声模型及参数范围等假设。</w:t>
      </w:r>
    </w:p>
    <w:p w14:paraId="70EFF5C6" w14:textId="77777777" w:rsidR="00EA2DCF" w:rsidRDefault="009C3274">
      <w:pPr>
        <w:pStyle w:val="21"/>
      </w:pPr>
      <w:bookmarkStart w:id="24" w:name="_Toc235289380"/>
      <w:r>
        <w:rPr>
          <w:rFonts w:ascii="Times New Roman" w:eastAsia="黑体" w:hAnsi="Times New Roman" w:cs="Times New Roman"/>
        </w:rPr>
        <w:t xml:space="preserve">4.3 </w:t>
      </w:r>
      <w:r>
        <w:rPr>
          <w:rFonts w:ascii="Times New Roman" w:eastAsia="黑体" w:hAnsi="Times New Roman" w:cs="Times New Roman"/>
        </w:rPr>
        <w:t>不同距离下三种参数控制策略的性能比较</w:t>
      </w:r>
      <w:bookmarkEnd w:id="24"/>
    </w:p>
    <w:p w14:paraId="40B4A15E" w14:textId="77777777" w:rsidR="00EA2DCF" w:rsidRDefault="009C3274">
      <w:pPr>
        <w:keepNext/>
        <w:pBdr>
          <w:bottom w:val="single" w:sz="4" w:space="1" w:color="B7B7B7"/>
        </w:pBdr>
        <w:shd w:val="clear" w:color="auto" w:fill="F2F3F5"/>
        <w:spacing w:before="120" w:after="80"/>
        <w:ind w:firstLine="0"/>
        <w:jc w:val="center"/>
      </w:pPr>
      <w:r>
        <w:rPr>
          <w:color w:val="666666"/>
        </w:rPr>
        <w:br/>
      </w:r>
      <w:r>
        <w:rPr>
          <w:color w:val="666666"/>
        </w:rPr>
        <w:t>在此插入图</w:t>
      </w:r>
      <w:r>
        <w:rPr>
          <w:color w:val="666666"/>
        </w:rPr>
        <w:t>4-2</w:t>
      </w:r>
      <w:r>
        <w:rPr>
          <w:color w:val="666666"/>
        </w:rPr>
        <w:br/>
      </w:r>
    </w:p>
    <w:p w14:paraId="6C9F777A" w14:textId="373FCFC3" w:rsidR="00EA2DCF" w:rsidRDefault="009C3274">
      <w:pPr>
        <w:pStyle w:val="af7"/>
        <w:keepNext/>
      </w:pPr>
      <w:r>
        <w:t>图</w:t>
      </w:r>
      <w:bookmarkStart w:id="25" w:name="fig_4_2"/>
      <w:r>
        <w:t>4-</w:t>
      </w:r>
      <w:r>
        <w:fldChar w:fldCharType="begin"/>
      </w:r>
      <w:r>
        <w:instrText xml:space="preserve"> SEQ Figure \n </w:instrText>
      </w:r>
      <w:r>
        <w:fldChar w:fldCharType="separate"/>
      </w:r>
      <w:r w:rsidR="004A08AE">
        <w:rPr>
          <w:noProof/>
        </w:rPr>
        <w:t>2</w:t>
      </w:r>
      <w:r>
        <w:fldChar w:fldCharType="end"/>
      </w:r>
      <w:bookmarkEnd w:id="25"/>
      <w:r>
        <w:t>（</w:t>
      </w:r>
      <w:r>
        <w:t>Fig. 4-2</w:t>
      </w:r>
      <w:r>
        <w:t>）</w:t>
      </w:r>
      <w:r>
        <w:t xml:space="preserve"> </w:t>
      </w:r>
      <w:r>
        <w:t>不同距离下三种参数控制策略的性能比较</w:t>
      </w:r>
    </w:p>
    <w:p w14:paraId="3CB7657A" w14:textId="4AAC5CF9" w:rsidR="00EA2DCF" w:rsidRDefault="009C3274">
      <w:pPr>
        <w:keepNext/>
      </w:pPr>
      <w:r>
        <w:t>图</w:t>
      </w:r>
      <w:r>
        <w:fldChar w:fldCharType="begin"/>
      </w:r>
      <w:r>
        <w:instrText xml:space="preserve"> REF fig_4_2 \h </w:instrText>
      </w:r>
      <w:r>
        <w:fldChar w:fldCharType="separate"/>
      </w:r>
      <w:r w:rsidR="004A08AE">
        <w:rPr>
          <w:sz w:val="21"/>
        </w:rPr>
        <w:t>4-</w:t>
      </w:r>
      <w:r w:rsidR="004A08AE">
        <w:rPr>
          <w:noProof/>
        </w:rPr>
        <w:t>2</w:t>
      </w:r>
      <w:r>
        <w:fldChar w:fldCharType="end"/>
      </w:r>
      <w:r>
        <w:t>的图示重点：比较</w:t>
      </w:r>
      <w:r>
        <w:t>P_EH</w:t>
      </w:r>
      <w:r>
        <w:t>、</w:t>
      </w:r>
      <w:r>
        <w:t>BER</w:t>
      </w:r>
      <w:r>
        <w:t>和信息速率，并指出可行域边界。</w:t>
      </w:r>
    </w:p>
    <w:p w14:paraId="62BCD15C" w14:textId="77777777" w:rsidR="00EA2DCF" w:rsidRDefault="009C3274">
      <w:pPr>
        <w:pStyle w:val="affb"/>
      </w:pPr>
      <w:r>
        <w:t>图后解释（每张结果图都保留）</w:t>
      </w:r>
    </w:p>
    <w:p w14:paraId="00B8A0AD" w14:textId="77777777" w:rsidR="00EA2DCF" w:rsidRDefault="009C3274">
      <w:pPr>
        <w:pStyle w:val="affa"/>
        <w:spacing w:before="0" w:after="0"/>
        <w:ind w:left="482" w:hanging="482"/>
      </w:pPr>
      <w:r>
        <w:t>（</w:t>
      </w:r>
      <w:r>
        <w:t>1</w:t>
      </w:r>
      <w:r>
        <w:t>）坐标与对象：说明横、纵坐标及单位、扫描范围，并解释颜色、线型与标记。</w:t>
      </w:r>
    </w:p>
    <w:p w14:paraId="45F8AFB0" w14:textId="77777777" w:rsidR="00EA2DCF" w:rsidRDefault="009C3274">
      <w:pPr>
        <w:pStyle w:val="affa"/>
        <w:spacing w:before="0" w:after="0"/>
        <w:ind w:left="482" w:hanging="482"/>
      </w:pPr>
      <w:r>
        <w:t>（</w:t>
      </w:r>
      <w:r>
        <w:t>2</w:t>
      </w:r>
      <w:r>
        <w:t>）计算依据：列出对应公式、固定参数、扫描变量与算法设置，保证可复现。</w:t>
      </w:r>
    </w:p>
    <w:p w14:paraId="7078DE88" w14:textId="77777777" w:rsidR="00EA2DCF" w:rsidRDefault="009C3274">
      <w:pPr>
        <w:pStyle w:val="affa"/>
        <w:spacing w:before="0" w:after="0"/>
        <w:ind w:left="482" w:hanging="482"/>
      </w:pPr>
      <w:r>
        <w:t>（</w:t>
      </w:r>
      <w:r>
        <w:t>3</w:t>
      </w:r>
      <w:r>
        <w:t>）主要趋势：说明上升、下降、饱和或拐点，并给出物理或数学原因。</w:t>
      </w:r>
    </w:p>
    <w:p w14:paraId="67FE0CC7" w14:textId="77777777" w:rsidR="00EA2DCF" w:rsidRDefault="009C3274">
      <w:pPr>
        <w:pStyle w:val="affa"/>
        <w:spacing w:before="0" w:after="0"/>
        <w:ind w:left="482" w:hanging="482"/>
      </w:pPr>
      <w:r>
        <w:t>（</w:t>
      </w:r>
      <w:r>
        <w:t>4</w:t>
      </w:r>
      <w:r>
        <w:t>）方法对比：在同一场景下定量比较</w:t>
      </w:r>
      <w:r>
        <w:t xml:space="preserve"> Fixed</w:t>
      </w:r>
      <w:r>
        <w:t>、</w:t>
      </w:r>
      <w:r>
        <w:t xml:space="preserve">PS-only </w:t>
      </w:r>
      <w:r>
        <w:t>与</w:t>
      </w:r>
      <w:r>
        <w:t xml:space="preserve"> Joint PS-MD</w:t>
      </w:r>
      <w:r>
        <w:t>。</w:t>
      </w:r>
    </w:p>
    <w:p w14:paraId="183D146C" w14:textId="77777777" w:rsidR="00EA2DCF" w:rsidRDefault="009C3274">
      <w:pPr>
        <w:pStyle w:val="affa"/>
        <w:spacing w:before="0" w:after="0"/>
        <w:ind w:left="482" w:hanging="482"/>
      </w:pPr>
      <w:r>
        <w:t>（</w:t>
      </w:r>
      <w:r>
        <w:t>5</w:t>
      </w:r>
      <w:r>
        <w:t>）结论与价值：只陈述本图支持的结论，不外推为硬件实验结论。</w:t>
      </w:r>
    </w:p>
    <w:p w14:paraId="7A453CD0" w14:textId="77777777" w:rsidR="00EA2DCF" w:rsidRDefault="009C3274">
      <w:pPr>
        <w:pStyle w:val="affa"/>
        <w:spacing w:before="0" w:after="0"/>
        <w:ind w:left="482" w:hanging="482"/>
      </w:pPr>
      <w:r>
        <w:t>（</w:t>
      </w:r>
      <w:r>
        <w:t>6</w:t>
      </w:r>
      <w:r>
        <w:t>）适用边界：说明功分、整流、相干检测、噪声模型及参数范围等假设。</w:t>
      </w:r>
    </w:p>
    <w:p w14:paraId="4D3ADFA3" w14:textId="77777777" w:rsidR="00EA2DCF" w:rsidRDefault="009C3274">
      <w:pPr>
        <w:pStyle w:val="21"/>
      </w:pPr>
      <w:bookmarkStart w:id="26" w:name="_Toc235289381"/>
      <w:r>
        <w:rPr>
          <w:rFonts w:ascii="Times New Roman" w:eastAsia="黑体" w:hAnsi="Times New Roman" w:cs="Times New Roman"/>
        </w:rPr>
        <w:t xml:space="preserve">4.4 </w:t>
      </w:r>
      <w:r>
        <w:rPr>
          <w:rFonts w:ascii="Times New Roman" w:eastAsia="黑体" w:hAnsi="Times New Roman" w:cs="Times New Roman"/>
        </w:rPr>
        <w:t>速率</w:t>
      </w:r>
      <w:r>
        <w:rPr>
          <w:rFonts w:ascii="Times New Roman" w:eastAsia="黑体" w:hAnsi="Times New Roman" w:cs="Times New Roman"/>
        </w:rPr>
        <w:t>—</w:t>
      </w:r>
      <w:r>
        <w:rPr>
          <w:rFonts w:ascii="Times New Roman" w:eastAsia="黑体" w:hAnsi="Times New Roman" w:cs="Times New Roman"/>
        </w:rPr>
        <w:t>能量</w:t>
      </w:r>
      <w:r>
        <w:rPr>
          <w:rFonts w:ascii="Times New Roman" w:eastAsia="黑体" w:hAnsi="Times New Roman" w:cs="Times New Roman"/>
        </w:rPr>
        <w:t>Pareto</w:t>
      </w:r>
      <w:r>
        <w:rPr>
          <w:rFonts w:ascii="Times New Roman" w:eastAsia="黑体" w:hAnsi="Times New Roman" w:cs="Times New Roman"/>
        </w:rPr>
        <w:t>前沿与推荐折中点</w:t>
      </w:r>
      <w:bookmarkEnd w:id="26"/>
    </w:p>
    <w:p w14:paraId="66A25597" w14:textId="77777777" w:rsidR="00EA2DCF" w:rsidRDefault="009C3274">
      <w:pPr>
        <w:keepNext/>
        <w:pBdr>
          <w:bottom w:val="single" w:sz="4" w:space="1" w:color="B7B7B7"/>
        </w:pBdr>
        <w:shd w:val="clear" w:color="auto" w:fill="F2F3F5"/>
        <w:spacing w:before="120" w:after="80"/>
        <w:ind w:firstLine="0"/>
        <w:jc w:val="center"/>
      </w:pPr>
      <w:r>
        <w:rPr>
          <w:color w:val="666666"/>
        </w:rPr>
        <w:br/>
      </w:r>
      <w:r>
        <w:rPr>
          <w:color w:val="666666"/>
        </w:rPr>
        <w:t>在此插入图</w:t>
      </w:r>
      <w:r>
        <w:rPr>
          <w:color w:val="666666"/>
        </w:rPr>
        <w:t>4-3</w:t>
      </w:r>
      <w:r>
        <w:rPr>
          <w:color w:val="666666"/>
        </w:rPr>
        <w:br/>
      </w:r>
    </w:p>
    <w:p w14:paraId="7CBA78D7" w14:textId="71B14B97" w:rsidR="00EA2DCF" w:rsidRDefault="009C3274">
      <w:pPr>
        <w:pStyle w:val="af7"/>
        <w:keepNext/>
      </w:pPr>
      <w:r>
        <w:t>图</w:t>
      </w:r>
      <w:bookmarkStart w:id="27" w:name="fig_4_3"/>
      <w:r>
        <w:t>4-</w:t>
      </w:r>
      <w:r>
        <w:fldChar w:fldCharType="begin"/>
      </w:r>
      <w:r>
        <w:instrText xml:space="preserve"> SEQ Figure \n </w:instrText>
      </w:r>
      <w:r>
        <w:fldChar w:fldCharType="separate"/>
      </w:r>
      <w:r w:rsidR="004A08AE">
        <w:rPr>
          <w:noProof/>
        </w:rPr>
        <w:t>3</w:t>
      </w:r>
      <w:r>
        <w:fldChar w:fldCharType="end"/>
      </w:r>
      <w:bookmarkEnd w:id="27"/>
      <w:r>
        <w:t>（</w:t>
      </w:r>
      <w:r>
        <w:t>Fig. 4-3</w:t>
      </w:r>
      <w:r>
        <w:t>）</w:t>
      </w:r>
      <w:r>
        <w:t xml:space="preserve"> </w:t>
      </w:r>
      <w:r>
        <w:t>速率</w:t>
      </w:r>
      <w:r>
        <w:t>—</w:t>
      </w:r>
      <w:r>
        <w:t>能量</w:t>
      </w:r>
      <w:r>
        <w:t>Pareto</w:t>
      </w:r>
      <w:r>
        <w:t>前沿与推荐折中点</w:t>
      </w:r>
    </w:p>
    <w:p w14:paraId="18BABB08" w14:textId="2941AF57" w:rsidR="00EA2DCF" w:rsidRDefault="009C3274">
      <w:pPr>
        <w:keepNext/>
      </w:pPr>
      <w:r>
        <w:t>图</w:t>
      </w:r>
      <w:r>
        <w:fldChar w:fldCharType="begin"/>
      </w:r>
      <w:r>
        <w:instrText xml:space="preserve"> REF fig_4_3 \h </w:instrText>
      </w:r>
      <w:r>
        <w:fldChar w:fldCharType="separate"/>
      </w:r>
      <w:r w:rsidR="004A08AE">
        <w:rPr>
          <w:sz w:val="21"/>
        </w:rPr>
        <w:t>4-</w:t>
      </w:r>
      <w:r w:rsidR="004A08AE">
        <w:rPr>
          <w:noProof/>
        </w:rPr>
        <w:t>3</w:t>
      </w:r>
      <w:r>
        <w:fldChar w:fldCharType="end"/>
      </w:r>
      <w:r>
        <w:t>的图示重点：说明非支配解、权重变化和推荐点选择规则。</w:t>
      </w:r>
    </w:p>
    <w:p w14:paraId="4EA5DD2D" w14:textId="77777777" w:rsidR="00EA2DCF" w:rsidRDefault="009C3274">
      <w:pPr>
        <w:pStyle w:val="affb"/>
      </w:pPr>
      <w:r>
        <w:t>图后解释（每张结果图都保留）</w:t>
      </w:r>
    </w:p>
    <w:p w14:paraId="4C22D4D3" w14:textId="77777777" w:rsidR="00EA2DCF" w:rsidRDefault="009C3274">
      <w:pPr>
        <w:pStyle w:val="affa"/>
        <w:spacing w:before="0" w:after="0"/>
        <w:ind w:left="482" w:hanging="482"/>
      </w:pPr>
      <w:r>
        <w:t>（</w:t>
      </w:r>
      <w:r>
        <w:t>1</w:t>
      </w:r>
      <w:r>
        <w:t>）坐标与对象：说明横、纵坐标及单位、扫描范围，并解释颜色、线型与标记。</w:t>
      </w:r>
    </w:p>
    <w:p w14:paraId="6F4B7572" w14:textId="77777777" w:rsidR="00EA2DCF" w:rsidRDefault="009C3274">
      <w:pPr>
        <w:pStyle w:val="affa"/>
        <w:spacing w:before="0" w:after="0"/>
        <w:ind w:left="482" w:hanging="482"/>
      </w:pPr>
      <w:r>
        <w:t>（</w:t>
      </w:r>
      <w:r>
        <w:t>2</w:t>
      </w:r>
      <w:r>
        <w:t>）计算依据：列出对应公式、固定参数、扫描变量与算法设置，保证可复现。</w:t>
      </w:r>
    </w:p>
    <w:p w14:paraId="3CE58B9A" w14:textId="77777777" w:rsidR="00EA2DCF" w:rsidRDefault="009C3274">
      <w:pPr>
        <w:pStyle w:val="affa"/>
        <w:spacing w:before="0" w:after="0"/>
        <w:ind w:left="482" w:hanging="482"/>
      </w:pPr>
      <w:r>
        <w:t>（</w:t>
      </w:r>
      <w:r>
        <w:t>3</w:t>
      </w:r>
      <w:r>
        <w:t>）主要趋势：说明上升、下降、饱和或拐点，并给出物理或数学原因。</w:t>
      </w:r>
    </w:p>
    <w:p w14:paraId="4D297015" w14:textId="77777777" w:rsidR="00EA2DCF" w:rsidRDefault="009C3274">
      <w:pPr>
        <w:pStyle w:val="affa"/>
        <w:spacing w:before="0" w:after="0"/>
        <w:ind w:left="482" w:hanging="482"/>
      </w:pPr>
      <w:r>
        <w:t>（</w:t>
      </w:r>
      <w:r>
        <w:t>4</w:t>
      </w:r>
      <w:r>
        <w:t>）方法对比：在同一场景下定量比较</w:t>
      </w:r>
      <w:r>
        <w:t xml:space="preserve"> Fixed</w:t>
      </w:r>
      <w:r>
        <w:t>、</w:t>
      </w:r>
      <w:r>
        <w:t xml:space="preserve">PS-only </w:t>
      </w:r>
      <w:r>
        <w:t>与</w:t>
      </w:r>
      <w:r>
        <w:t xml:space="preserve"> Joint PS-MD</w:t>
      </w:r>
      <w:r>
        <w:t>。</w:t>
      </w:r>
    </w:p>
    <w:p w14:paraId="49BDA700" w14:textId="77777777" w:rsidR="00EA2DCF" w:rsidRDefault="009C3274">
      <w:pPr>
        <w:pStyle w:val="affa"/>
        <w:spacing w:before="0" w:after="0"/>
        <w:ind w:left="482" w:hanging="482"/>
      </w:pPr>
      <w:r>
        <w:t>（</w:t>
      </w:r>
      <w:r>
        <w:t>5</w:t>
      </w:r>
      <w:r>
        <w:t>）结论与价值：只陈述本图支持的结论，不外推为硬件实验结论。</w:t>
      </w:r>
    </w:p>
    <w:p w14:paraId="0BBC8EE2" w14:textId="77777777" w:rsidR="00EA2DCF" w:rsidRDefault="009C3274">
      <w:pPr>
        <w:pStyle w:val="affa"/>
        <w:spacing w:before="0" w:after="0"/>
        <w:ind w:left="482" w:hanging="482"/>
      </w:pPr>
      <w:r>
        <w:t>（</w:t>
      </w:r>
      <w:r>
        <w:t>6</w:t>
      </w:r>
      <w:r>
        <w:t>）适用边界：说明功分、整流、相干检测、噪声模型及参数范围等假设。</w:t>
      </w:r>
    </w:p>
    <w:p w14:paraId="5BC22C72" w14:textId="77777777" w:rsidR="00EA2DCF" w:rsidRDefault="009C3274">
      <w:pPr>
        <w:pStyle w:val="21"/>
      </w:pPr>
      <w:bookmarkStart w:id="28" w:name="_Toc235289382"/>
      <w:r>
        <w:rPr>
          <w:rFonts w:ascii="Times New Roman" w:eastAsia="黑体" w:hAnsi="Times New Roman" w:cs="Times New Roman"/>
        </w:rPr>
        <w:t xml:space="preserve">4.5 </w:t>
      </w:r>
      <w:r>
        <w:rPr>
          <w:rFonts w:ascii="Times New Roman" w:eastAsia="黑体" w:hAnsi="Times New Roman" w:cs="Times New Roman"/>
        </w:rPr>
        <w:t>横向偏移与偏转角下的失配鲁棒性</w:t>
      </w:r>
      <w:bookmarkEnd w:id="28"/>
    </w:p>
    <w:p w14:paraId="43300208" w14:textId="77777777" w:rsidR="00EA2DCF" w:rsidRDefault="009C3274">
      <w:pPr>
        <w:keepNext/>
        <w:pBdr>
          <w:bottom w:val="single" w:sz="4" w:space="1" w:color="B7B7B7"/>
        </w:pBdr>
        <w:shd w:val="clear" w:color="auto" w:fill="F2F3F5"/>
        <w:spacing w:before="120" w:after="80"/>
        <w:ind w:firstLine="0"/>
        <w:jc w:val="center"/>
      </w:pPr>
      <w:r>
        <w:rPr>
          <w:color w:val="666666"/>
        </w:rPr>
        <w:br/>
      </w:r>
      <w:r>
        <w:rPr>
          <w:color w:val="666666"/>
        </w:rPr>
        <w:t>在此插入图</w:t>
      </w:r>
      <w:r>
        <w:rPr>
          <w:color w:val="666666"/>
        </w:rPr>
        <w:t>4-4</w:t>
      </w:r>
      <w:r>
        <w:rPr>
          <w:color w:val="666666"/>
        </w:rPr>
        <w:br/>
      </w:r>
    </w:p>
    <w:p w14:paraId="23CAC6F9" w14:textId="39FABEC4" w:rsidR="00EA2DCF" w:rsidRDefault="009C3274">
      <w:pPr>
        <w:pStyle w:val="af7"/>
        <w:keepNext/>
      </w:pPr>
      <w:r>
        <w:t>图</w:t>
      </w:r>
      <w:bookmarkStart w:id="29" w:name="fig_4_4"/>
      <w:r>
        <w:t>4-</w:t>
      </w:r>
      <w:r>
        <w:fldChar w:fldCharType="begin"/>
      </w:r>
      <w:r>
        <w:instrText xml:space="preserve"> SEQ Figure \n </w:instrText>
      </w:r>
      <w:r>
        <w:fldChar w:fldCharType="separate"/>
      </w:r>
      <w:r w:rsidR="004A08AE">
        <w:rPr>
          <w:noProof/>
        </w:rPr>
        <w:t>4</w:t>
      </w:r>
      <w:r>
        <w:fldChar w:fldCharType="end"/>
      </w:r>
      <w:bookmarkEnd w:id="29"/>
      <w:r>
        <w:t>（</w:t>
      </w:r>
      <w:r>
        <w:t>Fig. 4-4</w:t>
      </w:r>
      <w:r>
        <w:t>）</w:t>
      </w:r>
      <w:r>
        <w:t xml:space="preserve"> </w:t>
      </w:r>
      <w:r>
        <w:t>横向偏移与偏转角下的失配鲁棒性</w:t>
      </w:r>
    </w:p>
    <w:p w14:paraId="353FFEAC" w14:textId="7AE7CF0D" w:rsidR="00EA2DCF" w:rsidRDefault="009C3274">
      <w:pPr>
        <w:keepNext/>
      </w:pPr>
      <w:r>
        <w:t>图</w:t>
      </w:r>
      <w:r>
        <w:fldChar w:fldCharType="begin"/>
      </w:r>
      <w:r>
        <w:instrText xml:space="preserve"> REF fig_4_4 \h </w:instrText>
      </w:r>
      <w:r>
        <w:fldChar w:fldCharType="separate"/>
      </w:r>
      <w:r w:rsidR="004A08AE">
        <w:rPr>
          <w:sz w:val="21"/>
        </w:rPr>
        <w:t>4-</w:t>
      </w:r>
      <w:r w:rsidR="004A08AE">
        <w:rPr>
          <w:noProof/>
        </w:rPr>
        <w:t>4</w:t>
      </w:r>
      <w:r>
        <w:fldChar w:fldCharType="end"/>
      </w:r>
      <w:r>
        <w:t>的图示重点：说明互感衰减、约束裕量和三种策略的可行域差异。</w:t>
      </w:r>
    </w:p>
    <w:p w14:paraId="7319D982" w14:textId="77777777" w:rsidR="00EA2DCF" w:rsidRDefault="009C3274">
      <w:pPr>
        <w:pStyle w:val="affb"/>
      </w:pPr>
      <w:r>
        <w:t>图后解释（每张结果图都保留）</w:t>
      </w:r>
    </w:p>
    <w:p w14:paraId="41BA45F0" w14:textId="77777777" w:rsidR="00EA2DCF" w:rsidRDefault="009C3274">
      <w:pPr>
        <w:pStyle w:val="affa"/>
        <w:spacing w:before="0" w:after="0"/>
        <w:ind w:left="482" w:hanging="482"/>
      </w:pPr>
      <w:r>
        <w:t>（</w:t>
      </w:r>
      <w:r>
        <w:t>1</w:t>
      </w:r>
      <w:r>
        <w:t>）坐标与对象：说明横、纵坐标及单位、扫描范围，并解释颜色、线型与标记。</w:t>
      </w:r>
    </w:p>
    <w:p w14:paraId="2219EFD1" w14:textId="77777777" w:rsidR="00EA2DCF" w:rsidRDefault="009C3274">
      <w:pPr>
        <w:pStyle w:val="affa"/>
        <w:spacing w:before="0" w:after="0"/>
        <w:ind w:left="482" w:hanging="482"/>
      </w:pPr>
      <w:r>
        <w:t>（</w:t>
      </w:r>
      <w:r>
        <w:t>2</w:t>
      </w:r>
      <w:r>
        <w:t>）计算依据：列出对应公式、固定参数、扫描变量与算法设置，保证可复现。</w:t>
      </w:r>
    </w:p>
    <w:p w14:paraId="5811E06B" w14:textId="77777777" w:rsidR="00EA2DCF" w:rsidRDefault="009C3274">
      <w:pPr>
        <w:pStyle w:val="affa"/>
        <w:spacing w:before="0" w:after="0"/>
        <w:ind w:left="482" w:hanging="482"/>
      </w:pPr>
      <w:r>
        <w:t>（</w:t>
      </w:r>
      <w:r>
        <w:t>3</w:t>
      </w:r>
      <w:r>
        <w:t>）主要趋势：说明上升、下降、饱和或拐点，并给出物理或数学原因。</w:t>
      </w:r>
    </w:p>
    <w:p w14:paraId="40DB4B41" w14:textId="77777777" w:rsidR="00EA2DCF" w:rsidRDefault="009C3274">
      <w:pPr>
        <w:pStyle w:val="affa"/>
        <w:spacing w:before="0" w:after="0"/>
        <w:ind w:left="482" w:hanging="482"/>
      </w:pPr>
      <w:r>
        <w:t>（</w:t>
      </w:r>
      <w:r>
        <w:t>4</w:t>
      </w:r>
      <w:r>
        <w:t>）方法对比：在同一场景下定量比较</w:t>
      </w:r>
      <w:r>
        <w:t xml:space="preserve"> Fixed</w:t>
      </w:r>
      <w:r>
        <w:t>、</w:t>
      </w:r>
      <w:r>
        <w:t xml:space="preserve">PS-only </w:t>
      </w:r>
      <w:r>
        <w:t>与</w:t>
      </w:r>
      <w:r>
        <w:t xml:space="preserve"> Joint PS-MD</w:t>
      </w:r>
      <w:r>
        <w:t>。</w:t>
      </w:r>
    </w:p>
    <w:p w14:paraId="37E2C30C" w14:textId="77777777" w:rsidR="00EA2DCF" w:rsidRDefault="009C3274">
      <w:pPr>
        <w:pStyle w:val="affa"/>
        <w:spacing w:before="0" w:after="0"/>
        <w:ind w:left="482" w:hanging="482"/>
      </w:pPr>
      <w:r>
        <w:t>（</w:t>
      </w:r>
      <w:r>
        <w:t>5</w:t>
      </w:r>
      <w:r>
        <w:t>）结论与价值：只陈述本图支持的结论，不外推为硬件实验结论。</w:t>
      </w:r>
    </w:p>
    <w:p w14:paraId="11617350" w14:textId="77777777" w:rsidR="00EA2DCF" w:rsidRDefault="009C3274">
      <w:pPr>
        <w:pStyle w:val="affa"/>
        <w:spacing w:before="0" w:after="0"/>
        <w:ind w:left="482" w:hanging="482"/>
      </w:pPr>
      <w:r>
        <w:t>（</w:t>
      </w:r>
      <w:r>
        <w:t>6</w:t>
      </w:r>
      <w:r>
        <w:t>）适用边界：说明功分、整流、相干检测、噪声模型及参数范围等假设。</w:t>
      </w:r>
    </w:p>
    <w:p w14:paraId="62917045" w14:textId="77777777" w:rsidR="00EA2DCF" w:rsidRDefault="009C3274">
      <w:pPr>
        <w:pStyle w:val="1"/>
        <w:pageBreakBefore/>
      </w:pPr>
      <w:bookmarkStart w:id="30" w:name="_Toc235289383"/>
      <w:r>
        <w:rPr>
          <w:rFonts w:ascii="Times New Roman" w:eastAsia="黑体" w:hAnsi="Times New Roman" w:cs="Times New Roman"/>
        </w:rPr>
        <w:t xml:space="preserve">5 </w:t>
      </w:r>
      <w:r>
        <w:rPr>
          <w:rFonts w:ascii="Times New Roman" w:eastAsia="黑体" w:hAnsi="Times New Roman" w:cs="Times New Roman"/>
        </w:rPr>
        <w:t>结论</w:t>
      </w:r>
      <w:bookmarkEnd w:id="30"/>
    </w:p>
    <w:p w14:paraId="008CE75A" w14:textId="77777777" w:rsidR="00EA2DCF" w:rsidRDefault="009C3274">
      <w:r>
        <w:t>【填写】用三至四条定量结论回应研究问题，并注明结论属于系统模型与算法仿真。只有完成真实硬件测量后，才使用</w:t>
      </w:r>
      <w:r>
        <w:t>“</w:t>
      </w:r>
      <w:r>
        <w:t>实验验证</w:t>
      </w:r>
      <w:r>
        <w:t>”“</w:t>
      </w:r>
      <w:r>
        <w:t>供电能力</w:t>
      </w:r>
      <w:r>
        <w:t>”</w:t>
      </w:r>
      <w:r>
        <w:t>或</w:t>
      </w:r>
      <w:r>
        <w:t>“</w:t>
      </w:r>
      <w:r>
        <w:t>实测效率</w:t>
      </w:r>
      <w:r>
        <w:t>”</w:t>
      </w:r>
      <w:r>
        <w:t>等表述。</w:t>
      </w:r>
    </w:p>
    <w:p w14:paraId="38942AD5" w14:textId="77777777" w:rsidR="00EA2DCF" w:rsidRDefault="009C3274">
      <w:pPr>
        <w:pStyle w:val="1"/>
        <w:pageBreakBefore/>
      </w:pPr>
      <w:bookmarkStart w:id="31" w:name="_Toc235289384"/>
      <w:r>
        <w:rPr>
          <w:rFonts w:ascii="Times New Roman" w:eastAsia="黑体" w:hAnsi="Times New Roman" w:cs="Times New Roman"/>
        </w:rPr>
        <w:t>参考文献</w:t>
      </w:r>
      <w:bookmarkEnd w:id="31"/>
    </w:p>
    <w:p w14:paraId="273BFDA1" w14:textId="1AE3E164" w:rsidR="00EA2DCF" w:rsidRDefault="009C3274">
      <w:pPr>
        <w:pStyle w:val="aff9"/>
        <w:ind w:left="482" w:hanging="482"/>
      </w:pPr>
      <w:bookmarkStart w:id="32" w:name="ref_1"/>
      <w:r>
        <w:t>[</w:t>
      </w:r>
      <w:r>
        <w:fldChar w:fldCharType="begin"/>
      </w:r>
      <w:r>
        <w:instrText xml:space="preserve"> SEQ Reference \r 1 </w:instrText>
      </w:r>
      <w:r>
        <w:fldChar w:fldCharType="separate"/>
      </w:r>
      <w:r w:rsidR="004A08AE">
        <w:rPr>
          <w:noProof/>
        </w:rPr>
        <w:t>1</w:t>
      </w:r>
      <w:r>
        <w:fldChar w:fldCharType="end"/>
      </w:r>
      <w:r>
        <w:t>]</w:t>
      </w:r>
      <w:bookmarkEnd w:id="32"/>
      <w:r>
        <w:t xml:space="preserve"> </w:t>
      </w:r>
      <w:r>
        <w:t>作者</w:t>
      </w:r>
      <w:r>
        <w:t xml:space="preserve">. </w:t>
      </w:r>
      <w:r>
        <w:t>题名</w:t>
      </w:r>
      <w:r>
        <w:t xml:space="preserve">[J]. </w:t>
      </w:r>
      <w:r>
        <w:t>期刊名</w:t>
      </w:r>
      <w:r>
        <w:t xml:space="preserve">, </w:t>
      </w:r>
      <w:r>
        <w:t>年</w:t>
      </w:r>
      <w:r>
        <w:t xml:space="preserve">, </w:t>
      </w:r>
      <w:r>
        <w:t>卷</w:t>
      </w:r>
      <w:r>
        <w:t>(</w:t>
      </w:r>
      <w:r>
        <w:t>期</w:t>
      </w:r>
      <w:r>
        <w:t xml:space="preserve">): </w:t>
      </w:r>
      <w:r>
        <w:t>起止页码</w:t>
      </w:r>
      <w:r>
        <w:t>.</w:t>
      </w:r>
    </w:p>
    <w:p w14:paraId="437DDD09" w14:textId="7B7224F9" w:rsidR="00EA2DCF" w:rsidRDefault="009C3274">
      <w:pPr>
        <w:pStyle w:val="aff9"/>
        <w:ind w:left="482" w:hanging="482"/>
      </w:pPr>
      <w:bookmarkStart w:id="33" w:name="ref_2"/>
      <w:r>
        <w:t>[</w:t>
      </w:r>
      <w:r>
        <w:fldChar w:fldCharType="begin"/>
      </w:r>
      <w:r>
        <w:instrText xml:space="preserve"> SEQ Reference \n </w:instrText>
      </w:r>
      <w:r>
        <w:fldChar w:fldCharType="separate"/>
      </w:r>
      <w:r w:rsidR="004A08AE">
        <w:rPr>
          <w:noProof/>
        </w:rPr>
        <w:t>2</w:t>
      </w:r>
      <w:r>
        <w:fldChar w:fldCharType="end"/>
      </w:r>
      <w:r>
        <w:t>]</w:t>
      </w:r>
      <w:bookmarkEnd w:id="33"/>
      <w:r>
        <w:t xml:space="preserve"> AUTHOR A, AUTHOR B. Article title[J]. Journal Title, Year, Volume(Issue): Pages.</w:t>
      </w:r>
    </w:p>
    <w:p w14:paraId="4E956A0D" w14:textId="2606DB4B" w:rsidR="00EA2DCF" w:rsidRDefault="009C3274">
      <w:pPr>
        <w:pStyle w:val="aff9"/>
        <w:ind w:left="482" w:hanging="482"/>
      </w:pPr>
      <w:bookmarkStart w:id="34" w:name="ref_3"/>
      <w:r>
        <w:t>[</w:t>
      </w:r>
      <w:r>
        <w:fldChar w:fldCharType="begin"/>
      </w:r>
      <w:r>
        <w:instrText xml:space="preserve"> SEQ Reference \n </w:instrText>
      </w:r>
      <w:r>
        <w:fldChar w:fldCharType="separate"/>
      </w:r>
      <w:r w:rsidR="004A08AE">
        <w:rPr>
          <w:noProof/>
        </w:rPr>
        <w:t>3</w:t>
      </w:r>
      <w:r>
        <w:fldChar w:fldCharType="end"/>
      </w:r>
      <w:r>
        <w:t>]</w:t>
      </w:r>
      <w:bookmarkEnd w:id="34"/>
      <w:r>
        <w:t xml:space="preserve"> </w:t>
      </w:r>
      <w:r>
        <w:t>作者</w:t>
      </w:r>
      <w:r>
        <w:t xml:space="preserve">. </w:t>
      </w:r>
      <w:r>
        <w:t>学位论文题名</w:t>
      </w:r>
      <w:r>
        <w:t xml:space="preserve">[D]. </w:t>
      </w:r>
      <w:r>
        <w:t>城市</w:t>
      </w:r>
      <w:r>
        <w:t xml:space="preserve">: </w:t>
      </w:r>
      <w:r>
        <w:t>学校</w:t>
      </w:r>
      <w:r>
        <w:t xml:space="preserve">, </w:t>
      </w:r>
      <w:r>
        <w:t>年</w:t>
      </w:r>
      <w:r>
        <w:t>.</w:t>
      </w:r>
    </w:p>
    <w:p w14:paraId="55124F03" w14:textId="77777777" w:rsidR="00EA2DCF" w:rsidRDefault="009C3274">
      <w:pPr>
        <w:pStyle w:val="1"/>
        <w:pageBreakBefore/>
      </w:pPr>
      <w:bookmarkStart w:id="35" w:name="_Toc235289385"/>
      <w:r>
        <w:rPr>
          <w:rFonts w:ascii="Times New Roman" w:eastAsia="黑体" w:hAnsi="Times New Roman" w:cs="Times New Roman"/>
        </w:rPr>
        <w:t>附录</w:t>
      </w:r>
      <w:r>
        <w:rPr>
          <w:rFonts w:ascii="Times New Roman" w:eastAsia="黑体" w:hAnsi="Times New Roman" w:cs="Times New Roman"/>
        </w:rPr>
        <w:t xml:space="preserve">A </w:t>
      </w:r>
      <w:r>
        <w:rPr>
          <w:rFonts w:ascii="Times New Roman" w:eastAsia="黑体" w:hAnsi="Times New Roman" w:cs="Times New Roman"/>
        </w:rPr>
        <w:t>交叉引用查看与更新</w:t>
      </w:r>
      <w:bookmarkEnd w:id="35"/>
    </w:p>
    <w:p w14:paraId="3A6DFB36" w14:textId="77777777" w:rsidR="00EA2DCF" w:rsidRDefault="009C3274">
      <w:pPr>
        <w:pStyle w:val="aff9"/>
      </w:pPr>
      <w:r>
        <w:t>本页下划线编号均为真正的</w:t>
      </w:r>
      <w:r>
        <w:t>Word REF</w:t>
      </w:r>
      <w:r>
        <w:t>交叉引用域。默认情况下，它们与普通文字外观相同；按</w:t>
      </w:r>
      <w:r>
        <w:t>Alt+F9</w:t>
      </w:r>
      <w:r>
        <w:t>可在</w:t>
      </w:r>
      <w:r>
        <w:t>“</w:t>
      </w:r>
      <w:r>
        <w:t>引用结果</w:t>
      </w:r>
      <w:r>
        <w:t>”</w:t>
      </w:r>
      <w:r>
        <w:t>和</w:t>
      </w:r>
      <w:r>
        <w:t>“</w:t>
      </w:r>
      <w:r>
        <w:t>域代码</w:t>
      </w:r>
      <w:r>
        <w:t>”</w:t>
      </w:r>
      <w:r>
        <w:t>之间切换。</w:t>
      </w:r>
    </w:p>
    <w:p w14:paraId="284B0748" w14:textId="76413F82" w:rsidR="00EA2DCF" w:rsidRDefault="009C3274">
      <w:pPr>
        <w:pStyle w:val="aff9"/>
      </w:pPr>
      <w:r>
        <w:rPr>
          <w:b/>
        </w:rPr>
        <w:t>图引用：</w:t>
      </w:r>
      <w:r>
        <w:t>图</w:t>
      </w:r>
      <w:r>
        <w:rPr>
          <w:u w:val="single"/>
        </w:rPr>
        <w:fldChar w:fldCharType="begin"/>
      </w:r>
      <w:r>
        <w:rPr>
          <w:u w:val="single"/>
        </w:rPr>
        <w:instrText xml:space="preserve"> REF fig_2_1 \h </w:instrText>
      </w:r>
      <w:r>
        <w:rPr>
          <w:u w:val="single"/>
        </w:rPr>
      </w:r>
      <w:r>
        <w:rPr>
          <w:u w:val="single"/>
        </w:rPr>
        <w:fldChar w:fldCharType="separate"/>
      </w:r>
      <w:r w:rsidR="004A08AE">
        <w:rPr>
          <w:sz w:val="21"/>
        </w:rPr>
        <w:t>2-</w:t>
      </w:r>
      <w:r w:rsidR="004A08AE">
        <w:rPr>
          <w:noProof/>
        </w:rPr>
        <w:t>1</w:t>
      </w:r>
      <w:r>
        <w:rPr>
          <w:u w:val="single"/>
        </w:rPr>
        <w:fldChar w:fldCharType="end"/>
      </w:r>
      <w:r>
        <w:t>，域代码为</w:t>
      </w:r>
      <w:r>
        <w:t xml:space="preserve"> REF fig_2_1 \h</w:t>
      </w:r>
      <w:r>
        <w:t>。</w:t>
      </w:r>
    </w:p>
    <w:p w14:paraId="616325A1" w14:textId="0C97610F" w:rsidR="00EA2DCF" w:rsidRDefault="009C3274">
      <w:pPr>
        <w:pStyle w:val="aff9"/>
      </w:pPr>
      <w:r>
        <w:rPr>
          <w:b/>
        </w:rPr>
        <w:t>表引用：</w:t>
      </w:r>
      <w:r>
        <w:t>表</w:t>
      </w:r>
      <w:r>
        <w:rPr>
          <w:u w:val="single"/>
        </w:rPr>
        <w:fldChar w:fldCharType="begin"/>
      </w:r>
      <w:r>
        <w:rPr>
          <w:u w:val="single"/>
        </w:rPr>
        <w:instrText xml:space="preserve"> REF tab_4_1 \h </w:instrText>
      </w:r>
      <w:r>
        <w:rPr>
          <w:u w:val="single"/>
        </w:rPr>
      </w:r>
      <w:r>
        <w:rPr>
          <w:u w:val="single"/>
        </w:rPr>
        <w:fldChar w:fldCharType="separate"/>
      </w:r>
      <w:r w:rsidR="004A08AE">
        <w:rPr>
          <w:sz w:val="21"/>
        </w:rPr>
        <w:t>4-</w:t>
      </w:r>
      <w:r w:rsidR="004A08AE">
        <w:rPr>
          <w:noProof/>
        </w:rPr>
        <w:t>1</w:t>
      </w:r>
      <w:r>
        <w:rPr>
          <w:u w:val="single"/>
        </w:rPr>
        <w:fldChar w:fldCharType="end"/>
      </w:r>
      <w:r>
        <w:t>，域代码为</w:t>
      </w:r>
      <w:r>
        <w:t xml:space="preserve"> REF tab_4_1 \h</w:t>
      </w:r>
      <w:r>
        <w:t>。</w:t>
      </w:r>
    </w:p>
    <w:p w14:paraId="33A76E7A" w14:textId="06853F9F" w:rsidR="00EA2DCF" w:rsidRDefault="009C3274">
      <w:pPr>
        <w:pStyle w:val="aff9"/>
      </w:pPr>
      <w:r>
        <w:rPr>
          <w:b/>
        </w:rPr>
        <w:t>公式引用：</w:t>
      </w:r>
      <w:r>
        <w:t>式（</w:t>
      </w:r>
      <w:r>
        <w:rPr>
          <w:u w:val="single"/>
        </w:rPr>
        <w:fldChar w:fldCharType="begin"/>
      </w:r>
      <w:r>
        <w:rPr>
          <w:u w:val="single"/>
        </w:rPr>
        <w:instrText xml:space="preserve"> REF eq_2_1 \h </w:instrText>
      </w:r>
      <w:r>
        <w:rPr>
          <w:u w:val="single"/>
        </w:rPr>
      </w:r>
      <w:r>
        <w:rPr>
          <w:u w:val="single"/>
        </w:rPr>
        <w:fldChar w:fldCharType="separate"/>
      </w:r>
      <w:r w:rsidR="004A08AE">
        <w:rPr>
          <w:rFonts w:ascii="Cambria Math" w:hAnsi="Cambria Math" w:cs="Cambria Math"/>
        </w:rPr>
        <w:t>2-</w:t>
      </w:r>
      <w:r w:rsidR="004A08AE">
        <w:rPr>
          <w:noProof/>
        </w:rPr>
        <w:t>1</w:t>
      </w:r>
      <w:r>
        <w:rPr>
          <w:u w:val="single"/>
        </w:rPr>
        <w:fldChar w:fldCharType="end"/>
      </w:r>
      <w:r>
        <w:t>），域代码为</w:t>
      </w:r>
      <w:r>
        <w:t xml:space="preserve"> REF eq_2_1 \h</w:t>
      </w:r>
      <w:r>
        <w:t>。</w:t>
      </w:r>
    </w:p>
    <w:p w14:paraId="394601C2" w14:textId="39D5D22D" w:rsidR="00EA2DCF" w:rsidRDefault="009C3274">
      <w:pPr>
        <w:pStyle w:val="aff9"/>
      </w:pPr>
      <w:r>
        <w:rPr>
          <w:b/>
        </w:rPr>
        <w:t>文献引用：</w:t>
      </w:r>
      <w:r>
        <w:t>文献</w:t>
      </w:r>
      <w:r>
        <w:rPr>
          <w:u w:val="single"/>
        </w:rPr>
        <w:fldChar w:fldCharType="begin"/>
      </w:r>
      <w:r>
        <w:rPr>
          <w:u w:val="single"/>
        </w:rPr>
        <w:instrText xml:space="preserve"> REF ref_1 \h </w:instrText>
      </w:r>
      <w:r>
        <w:rPr>
          <w:u w:val="single"/>
        </w:rPr>
      </w:r>
      <w:r>
        <w:rPr>
          <w:u w:val="single"/>
        </w:rPr>
        <w:fldChar w:fldCharType="separate"/>
      </w:r>
      <w:r w:rsidR="004A08AE">
        <w:t>[</w:t>
      </w:r>
      <w:r w:rsidR="004A08AE">
        <w:rPr>
          <w:noProof/>
        </w:rPr>
        <w:t>1</w:t>
      </w:r>
      <w:r w:rsidR="004A08AE">
        <w:t>]</w:t>
      </w:r>
      <w:r>
        <w:rPr>
          <w:u w:val="single"/>
        </w:rPr>
        <w:fldChar w:fldCharType="end"/>
      </w:r>
      <w:r>
        <w:t>，域代码为</w:t>
      </w:r>
      <w:r>
        <w:t xml:space="preserve"> REF ref_1 \h</w:t>
      </w:r>
      <w:r>
        <w:t>。</w:t>
      </w:r>
    </w:p>
    <w:p w14:paraId="4DBE353C" w14:textId="77777777" w:rsidR="00EA2DCF" w:rsidRDefault="009C3274">
      <w:pPr>
        <w:pStyle w:val="aff9"/>
        <w:ind w:left="482" w:hanging="482"/>
      </w:pPr>
      <w:r>
        <w:t xml:space="preserve">• </w:t>
      </w:r>
      <w:r>
        <w:t>检查域代码：按</w:t>
      </w:r>
      <w:r>
        <w:t>Alt+F9</w:t>
      </w:r>
      <w:r>
        <w:t>；再次按</w:t>
      </w:r>
      <w:r>
        <w:t>Alt+F9</w:t>
      </w:r>
      <w:r>
        <w:t>返回正常显示。</w:t>
      </w:r>
    </w:p>
    <w:p w14:paraId="150D1CC3" w14:textId="77777777" w:rsidR="00EA2DCF" w:rsidRDefault="009C3274">
      <w:pPr>
        <w:pStyle w:val="aff9"/>
        <w:ind w:left="482" w:hanging="482"/>
      </w:pPr>
      <w:r>
        <w:t xml:space="preserve">• </w:t>
      </w:r>
      <w:r>
        <w:t>更新单个引用：右键单击编号，选择</w:t>
      </w:r>
      <w:r>
        <w:t>“</w:t>
      </w:r>
      <w:r>
        <w:t>更新域</w:t>
      </w:r>
      <w:r>
        <w:t>”</w:t>
      </w:r>
      <w:r>
        <w:t>。</w:t>
      </w:r>
    </w:p>
    <w:p w14:paraId="33150FC6" w14:textId="77777777" w:rsidR="00EA2DCF" w:rsidRDefault="009C3274">
      <w:pPr>
        <w:pStyle w:val="aff9"/>
        <w:ind w:left="482" w:hanging="482"/>
      </w:pPr>
      <w:r>
        <w:t xml:space="preserve">• </w:t>
      </w:r>
      <w:r>
        <w:t>更新全文：按</w:t>
      </w:r>
      <w:r>
        <w:t>Ctrl+A</w:t>
      </w:r>
      <w:r>
        <w:t>全选，再按</w:t>
      </w:r>
      <w:r>
        <w:t>F9</w:t>
      </w:r>
      <w:r>
        <w:t>。</w:t>
      </w:r>
    </w:p>
    <w:p w14:paraId="4A0AFBD7" w14:textId="77777777" w:rsidR="00EA2DCF" w:rsidRDefault="009C3274">
      <w:pPr>
        <w:pStyle w:val="aff9"/>
        <w:ind w:left="482" w:hanging="482"/>
      </w:pPr>
      <w:r>
        <w:t xml:space="preserve">• </w:t>
      </w:r>
      <w:r>
        <w:t>插入新引用：使用</w:t>
      </w:r>
      <w:r>
        <w:t>“</w:t>
      </w:r>
      <w:r>
        <w:t>引用</w:t>
      </w:r>
      <w:r>
        <w:t>→</w:t>
      </w:r>
      <w:r>
        <w:t>交叉引用</w:t>
      </w:r>
      <w:r>
        <w:t>”</w:t>
      </w:r>
      <w:r>
        <w:t>，不要复制或手工输入旧编号。</w:t>
      </w:r>
    </w:p>
    <w:p w14:paraId="226C49F0" w14:textId="77777777" w:rsidR="00EA2DCF" w:rsidRDefault="009C3274">
      <w:pPr>
        <w:pStyle w:val="1"/>
        <w:pageBreakBefore/>
      </w:pPr>
      <w:bookmarkStart w:id="36" w:name="_Toc235289386"/>
      <w:r>
        <w:rPr>
          <w:rFonts w:ascii="Times New Roman" w:eastAsia="黑体" w:hAnsi="Times New Roman" w:cs="Times New Roman"/>
        </w:rPr>
        <w:t>附录</w:t>
      </w:r>
      <w:r>
        <w:rPr>
          <w:rFonts w:ascii="Times New Roman" w:eastAsia="黑体" w:hAnsi="Times New Roman" w:cs="Times New Roman"/>
        </w:rPr>
        <w:t xml:space="preserve">B </w:t>
      </w:r>
      <w:r>
        <w:rPr>
          <w:rFonts w:ascii="Times New Roman" w:eastAsia="黑体" w:hAnsi="Times New Roman" w:cs="Times New Roman"/>
        </w:rPr>
        <w:t>统一排版规则</w:t>
      </w:r>
      <w:bookmarkEnd w:id="36"/>
    </w:p>
    <w:p w14:paraId="2F5D4611" w14:textId="77777777" w:rsidR="00EA2DCF" w:rsidRDefault="009C3274">
      <w:pPr>
        <w:pStyle w:val="aff9"/>
        <w:ind w:left="482" w:hanging="482"/>
      </w:pPr>
      <w:r>
        <w:t xml:space="preserve">• </w:t>
      </w:r>
      <w:r>
        <w:t>页面：</w:t>
      </w:r>
      <w:r>
        <w:t>A4</w:t>
      </w:r>
      <w:r>
        <w:t>；上边距</w:t>
      </w:r>
      <w:r>
        <w:t>2.5 cm</w:t>
      </w:r>
      <w:r>
        <w:t>，下</w:t>
      </w:r>
      <w:r>
        <w:t>/</w:t>
      </w:r>
      <w:r>
        <w:t>左</w:t>
      </w:r>
      <w:r>
        <w:t>/</w:t>
      </w:r>
      <w:r>
        <w:t>右边距</w:t>
      </w:r>
      <w:r>
        <w:t>2.1 cm</w:t>
      </w:r>
      <w:r>
        <w:t>；页眉、页脚距边界</w:t>
      </w:r>
      <w:r>
        <w:t>1.5 cm</w:t>
      </w:r>
      <w:r>
        <w:t>。</w:t>
      </w:r>
    </w:p>
    <w:p w14:paraId="2855D7C3" w14:textId="77777777" w:rsidR="00EA2DCF" w:rsidRDefault="009C3274">
      <w:pPr>
        <w:pStyle w:val="aff9"/>
        <w:ind w:left="482" w:hanging="482"/>
      </w:pPr>
      <w:r>
        <w:t xml:space="preserve">• </w:t>
      </w:r>
      <w:r>
        <w:t>正文：中文宋体小四（</w:t>
      </w:r>
      <w:r>
        <w:t>12 pt</w:t>
      </w:r>
      <w:r>
        <w:t>）；英文、数字和变量</w:t>
      </w:r>
      <w:r>
        <w:t>Times New Roman</w:t>
      </w:r>
      <w:r>
        <w:t>小四；固定</w:t>
      </w:r>
      <w:r>
        <w:t>20 pt</w:t>
      </w:r>
      <w:r>
        <w:t>；首行缩进约</w:t>
      </w:r>
      <w:r>
        <w:t>0.85 cm</w:t>
      </w:r>
      <w:r>
        <w:t>。</w:t>
      </w:r>
    </w:p>
    <w:p w14:paraId="004328AA" w14:textId="77777777" w:rsidR="00EA2DCF" w:rsidRDefault="009C3274">
      <w:pPr>
        <w:pStyle w:val="aff9"/>
        <w:ind w:left="482" w:hanging="482"/>
      </w:pPr>
      <w:r>
        <w:t xml:space="preserve">• </w:t>
      </w:r>
      <w:r>
        <w:t>标题：一级黑体</w:t>
      </w:r>
      <w:r>
        <w:t>16 pt</w:t>
      </w:r>
      <w:r>
        <w:t>居中；二级黑体</w:t>
      </w:r>
      <w:r>
        <w:t>14 pt</w:t>
      </w:r>
      <w:r>
        <w:t>左对齐；三级黑体</w:t>
      </w:r>
      <w:r>
        <w:t>12 pt</w:t>
      </w:r>
      <w:r>
        <w:t>左对齐。</w:t>
      </w:r>
    </w:p>
    <w:p w14:paraId="2B7BA68D" w14:textId="77777777" w:rsidR="00EA2DCF" w:rsidRDefault="009C3274">
      <w:pPr>
        <w:pStyle w:val="aff9"/>
        <w:ind w:left="482" w:hanging="482"/>
      </w:pPr>
      <w:r>
        <w:t xml:space="preserve">• </w:t>
      </w:r>
      <w:r>
        <w:t>图题</w:t>
      </w:r>
      <w:r>
        <w:t>/</w:t>
      </w:r>
      <w:r>
        <w:t>表题：中文宋体、英文</w:t>
      </w:r>
      <w:r>
        <w:t>Times New Roman</w:t>
      </w:r>
      <w:r>
        <w:t>五号（</w:t>
      </w:r>
      <w:r>
        <w:t>10.5 pt</w:t>
      </w:r>
      <w:r>
        <w:t>）；图题在图下，表题在表上。</w:t>
      </w:r>
    </w:p>
    <w:p w14:paraId="41B129D1" w14:textId="77777777" w:rsidR="00EA2DCF" w:rsidRDefault="009C3274">
      <w:pPr>
        <w:pStyle w:val="aff9"/>
        <w:ind w:left="482" w:hanging="482"/>
      </w:pPr>
      <w:r>
        <w:t xml:space="preserve">• </w:t>
      </w:r>
      <w:r>
        <w:t>图内坐标、刻度与图例：中文宋体、英文</w:t>
      </w:r>
      <w:r>
        <w:t>Times New Roman</w:t>
      </w:r>
      <w:r>
        <w:t>，</w:t>
      </w:r>
      <w:r>
        <w:t>9–10.5 pt</w:t>
      </w:r>
      <w:r>
        <w:t>；同一篇报告保持一致。</w:t>
      </w:r>
    </w:p>
    <w:p w14:paraId="449E20CD" w14:textId="77777777" w:rsidR="00EA2DCF" w:rsidRDefault="009C3274">
      <w:pPr>
        <w:pStyle w:val="aff9"/>
        <w:ind w:left="482" w:hanging="482"/>
      </w:pPr>
      <w:r>
        <w:t xml:space="preserve">• </w:t>
      </w:r>
      <w:r>
        <w:t>表格：优先三线表；单位写在表头；参数值与单位分列；表后说明数据来源。</w:t>
      </w:r>
    </w:p>
    <w:p w14:paraId="015D2534" w14:textId="77777777" w:rsidR="00EA2DCF" w:rsidRDefault="009C3274">
      <w:pPr>
        <w:pStyle w:val="aff9"/>
        <w:ind w:left="482" w:hanging="482"/>
      </w:pPr>
      <w:r>
        <w:t xml:space="preserve">• </w:t>
      </w:r>
      <w:r>
        <w:t>图后解释：固定包含坐标与对象、计算依据、主要趋势、方法对比、结论与价值、适用边界。</w:t>
      </w:r>
    </w:p>
    <w:p w14:paraId="6D68EF5D" w14:textId="77777777" w:rsidR="00EA2DCF" w:rsidRDefault="009C3274">
      <w:pPr>
        <w:pStyle w:val="aff9"/>
        <w:ind w:left="482" w:hanging="482"/>
      </w:pPr>
      <w:r>
        <w:t xml:space="preserve">• </w:t>
      </w:r>
      <w:r>
        <w:t>编号：图、表和公式均按章编号，如图</w:t>
      </w:r>
      <w:r>
        <w:t>2-1</w:t>
      </w:r>
      <w:r>
        <w:t>、表</w:t>
      </w:r>
      <w:r>
        <w:t>4-1</w:t>
      </w:r>
      <w:r>
        <w:t>、式（</w:t>
      </w:r>
      <w:r>
        <w:t>2-1</w:t>
      </w:r>
      <w:r>
        <w:t>）；正文必须使用</w:t>
      </w:r>
      <w:r>
        <w:t>Word</w:t>
      </w:r>
      <w:r>
        <w:t>交叉引用，不得手工输入编号。</w:t>
      </w:r>
    </w:p>
    <w:p w14:paraId="6DB3BAD2" w14:textId="77777777" w:rsidR="00EA2DCF" w:rsidRDefault="009C3274">
      <w:pPr>
        <w:pStyle w:val="aff9"/>
        <w:ind w:left="482" w:hanging="482"/>
      </w:pPr>
      <w:r>
        <w:t xml:space="preserve">• </w:t>
      </w:r>
      <w:r>
        <w:t>文献：参考文献序号采用自动编号并设置书签；正文引用采用</w:t>
      </w:r>
      <w:r>
        <w:t>REF</w:t>
      </w:r>
      <w:r>
        <w:t>交叉引用，例如文献</w:t>
      </w:r>
      <w:r>
        <w:t>[1]</w:t>
      </w:r>
      <w:r>
        <w:t>。</w:t>
      </w:r>
    </w:p>
    <w:p w14:paraId="2312EF38" w14:textId="77777777" w:rsidR="00EA2DCF" w:rsidRDefault="009C3274">
      <w:pPr>
        <w:pStyle w:val="aff9"/>
        <w:ind w:left="482" w:hanging="482"/>
      </w:pPr>
      <w:r>
        <w:t xml:space="preserve">• </w:t>
      </w:r>
      <w:r>
        <w:t>更新：提交或导出前按</w:t>
      </w:r>
      <w:r>
        <w:t>Ctrl+A</w:t>
      </w:r>
      <w:r>
        <w:t>全选，再按</w:t>
      </w:r>
      <w:r>
        <w:t>F9</w:t>
      </w:r>
      <w:r>
        <w:t>更新目录、题注、公式编号和全部交叉引用。</w:t>
      </w:r>
    </w:p>
    <w:p w14:paraId="28700499" w14:textId="77777777" w:rsidR="00EA2DCF" w:rsidRDefault="009C3274">
      <w:pPr>
        <w:pStyle w:val="aff9"/>
        <w:ind w:left="482" w:hanging="482"/>
      </w:pPr>
      <w:r>
        <w:t xml:space="preserve">• </w:t>
      </w:r>
      <w:r>
        <w:t>重要：</w:t>
      </w:r>
      <w:r>
        <w:t>Word</w:t>
      </w:r>
      <w:r>
        <w:t>只能统一图题，不能修改已经嵌入</w:t>
      </w:r>
      <w:r>
        <w:t>PNG/PDF</w:t>
      </w:r>
      <w:r>
        <w:t>图中的图例字体；图内字体必须在</w:t>
      </w:r>
      <w:r>
        <w:t>MATLAB</w:t>
      </w:r>
      <w:r>
        <w:t>导出前设置。</w:t>
      </w:r>
    </w:p>
    <w:p w14:paraId="6C6D1F78" w14:textId="77777777" w:rsidR="00EA2DCF" w:rsidRDefault="009C3274">
      <w:pPr>
        <w:pStyle w:val="aff9"/>
        <w:ind w:left="482" w:hanging="482"/>
      </w:pPr>
      <w:r>
        <w:t xml:space="preserve">• </w:t>
      </w:r>
      <w:r>
        <w:t>优先级：若学校、会议或期刊发布正式模板，则目标单位模板高于本通用模板。</w:t>
      </w:r>
    </w:p>
    <w:p w14:paraId="315D4025" w14:textId="77777777" w:rsidR="00EA2DCF" w:rsidRDefault="009C3274">
      <w:pPr>
        <w:pStyle w:val="1"/>
        <w:pageBreakBefore/>
      </w:pPr>
      <w:bookmarkStart w:id="37" w:name="_Toc235289387"/>
      <w:r>
        <w:rPr>
          <w:rFonts w:ascii="Times New Roman" w:eastAsia="黑体" w:hAnsi="Times New Roman" w:cs="Times New Roman"/>
        </w:rPr>
        <w:t>附录</w:t>
      </w:r>
      <w:r>
        <w:rPr>
          <w:rFonts w:ascii="Times New Roman" w:eastAsia="黑体" w:hAnsi="Times New Roman" w:cs="Times New Roman"/>
        </w:rPr>
        <w:t xml:space="preserve">C </w:t>
      </w:r>
      <w:r>
        <w:rPr>
          <w:rFonts w:ascii="Times New Roman" w:eastAsia="黑体" w:hAnsi="Times New Roman" w:cs="Times New Roman"/>
        </w:rPr>
        <w:t>规范依据</w:t>
      </w:r>
      <w:bookmarkEnd w:id="37"/>
    </w:p>
    <w:p w14:paraId="6172A787" w14:textId="77777777" w:rsidR="00EA2DCF" w:rsidRDefault="009C3274">
      <w:pPr>
        <w:pStyle w:val="aff9"/>
      </w:pPr>
      <w:r>
        <w:t>本模板优先参考用户</w:t>
      </w:r>
      <w:r>
        <w:t>“</w:t>
      </w:r>
      <w:r>
        <w:t>硕士阶段</w:t>
      </w:r>
      <w:r>
        <w:t>”</w:t>
      </w:r>
      <w:r>
        <w:t>文件夹中的西安工业大学终版硕士论文与开题材料。</w:t>
      </w:r>
    </w:p>
    <w:p w14:paraId="0691C8F4" w14:textId="77777777" w:rsidR="00EA2DCF" w:rsidRDefault="009C3274">
      <w:pPr>
        <w:pStyle w:val="aff9"/>
      </w:pPr>
      <w:r>
        <w:t>国家标准：</w:t>
      </w:r>
      <w:r>
        <w:t>GB/T 7713.1—2025</w:t>
      </w:r>
      <w:r>
        <w:t>《信息与文献</w:t>
      </w:r>
      <w:r>
        <w:t xml:space="preserve"> </w:t>
      </w:r>
      <w:r>
        <w:t>编写规则</w:t>
      </w:r>
      <w:r>
        <w:t xml:space="preserve"> </w:t>
      </w:r>
      <w:r>
        <w:t>第</w:t>
      </w:r>
      <w:r>
        <w:t>1</w:t>
      </w:r>
      <w:r>
        <w:t>部分：学位论文》。</w:t>
      </w:r>
    </w:p>
    <w:p w14:paraId="21D6E321" w14:textId="77777777" w:rsidR="00EA2DCF" w:rsidRDefault="009C3274">
      <w:pPr>
        <w:pStyle w:val="aff9"/>
      </w:pPr>
      <w:r>
        <w:t>参考文献标准：</w:t>
      </w:r>
      <w:r>
        <w:t>GB/T 7714—2025</w:t>
      </w:r>
      <w:r>
        <w:t>《信息与文献</w:t>
      </w:r>
      <w:r>
        <w:t xml:space="preserve"> </w:t>
      </w:r>
      <w:r>
        <w:t>参考文献著录规则》。</w:t>
      </w:r>
    </w:p>
    <w:p w14:paraId="4BD41C17" w14:textId="77777777" w:rsidR="00EA2DCF" w:rsidRDefault="009C3274">
      <w:pPr>
        <w:pStyle w:val="aff9"/>
      </w:pPr>
      <w:r>
        <w:t>细节校核：清华大学《研究生学位论文写作指南（</w:t>
      </w:r>
      <w:r>
        <w:t>2025</w:t>
      </w:r>
      <w:r>
        <w:t>年版）》公开规则。</w:t>
      </w:r>
    </w:p>
    <w:sectPr w:rsidR="00EA2DCF" w:rsidSect="00034616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417" w:right="1191" w:bottom="1191" w:left="1191" w:header="850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6519D" w14:textId="77777777" w:rsidR="009C3274" w:rsidRDefault="009C3274">
      <w:pPr>
        <w:spacing w:line="240" w:lineRule="auto"/>
      </w:pPr>
      <w:r>
        <w:separator/>
      </w:r>
    </w:p>
  </w:endnote>
  <w:endnote w:type="continuationSeparator" w:id="0">
    <w:p w14:paraId="77AFF920" w14:textId="77777777" w:rsidR="009C3274" w:rsidRDefault="009C32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1F011" w14:textId="77777777" w:rsidR="00EA2DCF" w:rsidRDefault="00EA2DCF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02E36" w14:textId="77777777" w:rsidR="00EA2DCF" w:rsidRDefault="00EA2DCF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25181" w14:textId="77777777" w:rsidR="00EA2DCF" w:rsidRDefault="009C3274">
    <w:pPr>
      <w:pStyle w:val="a7"/>
      <w:jc w:val="center"/>
    </w:pPr>
    <w:r>
      <w:rPr>
        <w:sz w:val="21"/>
      </w:rPr>
      <w:fldChar w:fldCharType="begin"/>
    </w:r>
    <w:r>
      <w:rPr>
        <w:sz w:val="21"/>
      </w:rPr>
      <w:instrText xml:space="preserve"> PAGE </w:instrText>
    </w:r>
    <w:r w:rsidR="004A08AE">
      <w:rPr>
        <w:sz w:val="21"/>
      </w:rPr>
      <w:fldChar w:fldCharType="separate"/>
    </w:r>
    <w:r w:rsidR="004A08AE">
      <w:rPr>
        <w:noProof/>
        <w:sz w:val="21"/>
      </w:rPr>
      <w:t>2</w:t>
    </w:r>
    <w:r>
      <w:rPr>
        <w:sz w:val="21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E6E3A" w14:textId="77777777" w:rsidR="00EA2DCF" w:rsidRDefault="00EA2DC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0DB6F" w14:textId="77777777" w:rsidR="009C3274" w:rsidRDefault="009C3274">
      <w:pPr>
        <w:spacing w:line="240" w:lineRule="auto"/>
      </w:pPr>
      <w:r>
        <w:separator/>
      </w:r>
    </w:p>
  </w:footnote>
  <w:footnote w:type="continuationSeparator" w:id="0">
    <w:p w14:paraId="700E9439" w14:textId="77777777" w:rsidR="009C3274" w:rsidRDefault="009C327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67ADB" w14:textId="77777777" w:rsidR="00EA2DCF" w:rsidRDefault="00EA2DCF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A7D69" w14:textId="77777777" w:rsidR="00EA2DCF" w:rsidRDefault="00EA2DCF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51D29" w14:textId="77777777" w:rsidR="00EA2DCF" w:rsidRDefault="009C3274">
    <w:pPr>
      <w:pStyle w:val="a5"/>
      <w:pBdr>
        <w:bottom w:val="single" w:sz="4" w:space="1" w:color="B7B7B7"/>
      </w:pBdr>
      <w:jc w:val="center"/>
    </w:pPr>
    <w:r>
      <w:rPr>
        <w:color w:val="666666"/>
        <w:sz w:val="21"/>
      </w:rPr>
      <w:t>中文学术技术报告模板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E14E4" w14:textId="77777777" w:rsidR="00EA2DCF" w:rsidRDefault="00EA2DC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3766038">
    <w:abstractNumId w:val="8"/>
  </w:num>
  <w:num w:numId="2" w16cid:durableId="1280722826">
    <w:abstractNumId w:val="6"/>
  </w:num>
  <w:num w:numId="3" w16cid:durableId="1503623738">
    <w:abstractNumId w:val="5"/>
  </w:num>
  <w:num w:numId="4" w16cid:durableId="1889566598">
    <w:abstractNumId w:val="4"/>
  </w:num>
  <w:num w:numId="5" w16cid:durableId="456333579">
    <w:abstractNumId w:val="7"/>
  </w:num>
  <w:num w:numId="6" w16cid:durableId="1456409302">
    <w:abstractNumId w:val="3"/>
  </w:num>
  <w:num w:numId="7" w16cid:durableId="993413769">
    <w:abstractNumId w:val="2"/>
  </w:num>
  <w:num w:numId="8" w16cid:durableId="988705247">
    <w:abstractNumId w:val="1"/>
  </w:num>
  <w:num w:numId="9" w16cid:durableId="2109619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08AE"/>
    <w:rsid w:val="00913EB8"/>
    <w:rsid w:val="009C3274"/>
    <w:rsid w:val="00AA1D8D"/>
    <w:rsid w:val="00B47730"/>
    <w:rsid w:val="00CB0664"/>
    <w:rsid w:val="00EA2D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F343D5"/>
  <w14:defaultImageDpi w14:val="300"/>
  <w15:docId w15:val="{C00C71A0-C614-442B-BBB4-0027525E9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400" w:lineRule="exact"/>
      <w:ind w:firstLine="480"/>
      <w:jc w:val="both"/>
    </w:pPr>
    <w:rPr>
      <w:rFonts w:ascii="Times New Roman" w:eastAsia="宋体" w:hAnsi="Times New Roman" w:cs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40" w:line="480" w:lineRule="exact"/>
      <w:ind w:firstLine="0"/>
      <w:jc w:val="center"/>
      <w:outlineLvl w:val="0"/>
    </w:pPr>
    <w:rPr>
      <w:rFonts w:asciiTheme="majorHAnsi" w:eastAsiaTheme="majorEastAsia" w:hAnsiTheme="majorHAnsi" w:cstheme="majorBidi"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ind w:firstLine="0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8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ind w:left="420" w:hanging="21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ind w:left="420" w:hanging="21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keepLines/>
      <w:spacing w:before="80" w:after="160" w:line="240" w:lineRule="auto"/>
      <w:ind w:firstLine="0"/>
      <w:jc w:val="center"/>
    </w:pPr>
    <w:rPr>
      <w:bCs/>
      <w:sz w:val="2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9">
    <w:name w:val="正文无缩进"/>
    <w:pPr>
      <w:spacing w:after="0" w:line="400" w:lineRule="exact"/>
      <w:jc w:val="both"/>
    </w:pPr>
    <w:rPr>
      <w:rFonts w:ascii="Times New Roman" w:eastAsia="宋体" w:hAnsi="Times New Roman" w:cs="Times New Roman"/>
      <w:color w:val="000000"/>
      <w:sz w:val="24"/>
    </w:rPr>
  </w:style>
  <w:style w:type="paragraph" w:customStyle="1" w:styleId="affa">
    <w:name w:val="图后解释"/>
    <w:pPr>
      <w:spacing w:before="40" w:after="40" w:line="400" w:lineRule="exact"/>
      <w:ind w:firstLine="480"/>
      <w:jc w:val="both"/>
    </w:pPr>
    <w:rPr>
      <w:rFonts w:ascii="Times New Roman" w:eastAsia="宋体" w:hAnsi="Times New Roman" w:cs="Times New Roman"/>
      <w:color w:val="000000"/>
      <w:sz w:val="24"/>
    </w:rPr>
  </w:style>
  <w:style w:type="paragraph" w:customStyle="1" w:styleId="affb">
    <w:name w:val="图后解释标题"/>
    <w:pPr>
      <w:keepNext/>
      <w:keepLines/>
      <w:spacing w:before="160" w:after="80" w:line="400" w:lineRule="exact"/>
    </w:pPr>
    <w:rPr>
      <w:rFonts w:ascii="Times New Roman" w:eastAsia="黑体" w:hAnsi="Times New Roman" w:cs="Times New Roman"/>
      <w:b/>
      <w:color w:val="000000"/>
      <w:sz w:val="24"/>
    </w:rPr>
  </w:style>
  <w:style w:type="paragraph" w:customStyle="1" w:styleId="affc">
    <w:name w:val="说明文字"/>
    <w:pPr>
      <w:spacing w:before="60" w:after="60" w:line="320" w:lineRule="exact"/>
      <w:jc w:val="both"/>
    </w:pPr>
    <w:rPr>
      <w:rFonts w:ascii="Times New Roman" w:eastAsia="宋体" w:hAnsi="Times New Roman" w:cs="Times New Roman"/>
      <w:color w:val="666666"/>
      <w:sz w:val="21"/>
    </w:rPr>
  </w:style>
  <w:style w:type="paragraph" w:customStyle="1" w:styleId="affd">
    <w:name w:val="公式"/>
    <w:pPr>
      <w:spacing w:before="120" w:after="120" w:line="240" w:lineRule="auto"/>
      <w:jc w:val="center"/>
    </w:pPr>
    <w:rPr>
      <w:rFonts w:ascii="Cambria Math" w:eastAsia="宋体" w:hAnsi="Cambria Math" w:cs="Cambria Math"/>
      <w:color w:val="000000"/>
      <w:sz w:val="24"/>
    </w:rPr>
  </w:style>
  <w:style w:type="paragraph" w:customStyle="1" w:styleId="affe">
    <w:name w:val="目录标题"/>
    <w:pPr>
      <w:keepNext/>
      <w:spacing w:before="360" w:after="240" w:line="480" w:lineRule="exact"/>
      <w:jc w:val="center"/>
    </w:pPr>
    <w:rPr>
      <w:rFonts w:ascii="Times New Roman" w:eastAsia="黑体" w:hAnsi="Times New Roman" w:cs="Times New Roman"/>
      <w:color w:val="000000"/>
      <w:sz w:val="32"/>
    </w:rPr>
  </w:style>
  <w:style w:type="paragraph" w:styleId="TOC1">
    <w:name w:val="toc 1"/>
    <w:basedOn w:val="a1"/>
    <w:next w:val="a1"/>
    <w:autoRedefine/>
    <w:uiPriority w:val="39"/>
    <w:unhideWhenUsed/>
    <w:rsid w:val="004A08AE"/>
  </w:style>
  <w:style w:type="paragraph" w:styleId="TOC2">
    <w:name w:val="toc 2"/>
    <w:basedOn w:val="a1"/>
    <w:next w:val="a1"/>
    <w:autoRedefine/>
    <w:uiPriority w:val="39"/>
    <w:unhideWhenUsed/>
    <w:rsid w:val="004A08AE"/>
    <w:pPr>
      <w:ind w:leftChars="200" w:left="420"/>
    </w:pPr>
  </w:style>
  <w:style w:type="character" w:styleId="afff">
    <w:name w:val="Hyperlink"/>
    <w:basedOn w:val="a2"/>
    <w:uiPriority w:val="99"/>
    <w:unhideWhenUsed/>
    <w:rsid w:val="004A08A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1063</Words>
  <Characters>6062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NF-SWIPT中文学术技术报告模板</dc:title>
  <dc:subject>NF-SWIPT 学术技术报告</dc:subject>
  <dc:creator>python-docx</dc:creator>
  <cp:keywords>NF-SWIPT, 功率分割, 信息调制深度, 联合优化, MATLAB</cp:keywords>
  <dc:description>按用户硕士阶段材料与现行学术写作规范统一排版</dc:description>
  <cp:lastModifiedBy>chun chunyi</cp:lastModifiedBy>
  <cp:revision>2</cp:revision>
  <dcterms:created xsi:type="dcterms:W3CDTF">2013-12-23T23:15:00Z</dcterms:created>
  <dcterms:modified xsi:type="dcterms:W3CDTF">2026-07-18T09:48:00Z</dcterms:modified>
  <cp:category/>
</cp:coreProperties>
</file>