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</w:pPr>
      <w:r>
        <w:t xml:space="preserve"/>
      </w:r>
    </w:p>
    <w:p>
      <w:pPr>
        <w:shd w:fill="1F3864" w:val="clear"/>
        <w:spacing w:after="0" w:before="0"/>
        <w:jc w:val="center"/>
      </w:pPr>
      <w:r>
        <w:rPr>
          <w:sz w:val="4"/>
          <w:szCs w:val="4"/>
        </w:rPr>
        <w:t xml:space="preserve"/>
      </w:r>
    </w:p>
    <w:p>
      <w:pPr>
        <w:spacing w:after="60" w:before="240"/>
        <w:jc w:val="center"/>
      </w:pPr>
      <w:r>
        <w:rPr>
          <w:rFonts w:ascii="Arial" w:cs="Arial" w:eastAsia="Arial" w:hAnsi="Arial"/>
          <w:b/>
          <w:bCs/>
          <w:color w:val="1F3864"/>
          <w:sz w:val="64"/>
          <w:szCs w:val="64"/>
        </w:rPr>
        <w:t xml:space="preserve">SALES PERFORMANCE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C55A11"/>
          <w:sz w:val="64"/>
          <w:szCs w:val="64"/>
        </w:rPr>
        <w:t xml:space="preserve">&amp; FORECAST REPORT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Comprehensive Business Intelligence Analysis  |  FY 2024–2026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EXECUTIVE SNAPSHOT</w:t>
            </w:r>
          </w:p>
          <w:p>
            <w:pPr>
              <w:spacing w:after="0" w:before="8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Total Revenue: $91.27M   |   Win Rate: 26.4%   |   Avg Deal Size: $6,019   |   Avg Sales Cycle: 16.5 Days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Prepared by: Sales Analytics Division</w:t>
      </w: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Report Period: January 2024 – March 2026  |  Confidential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SECTION 1: EXECUTIVE SUMMARY &amp; KEY PERFORMANCE INDICATORS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This report provides a comprehensive analysis of the organization's sales performance across all regions, products, and sales representatives for the period January 2024 to March 2026. With 792 recorded transactions, the analysis spans multi-year trends, win rate performance, deal pipeline efficiency, and revenue distribution. The insights drawn from this data are intended to support strategic planning, resource allocation, and performance improvement initiatives.</w:t>
      </w:r>
    </w:p>
    <w:p>
      <w:pPr>
        <w:spacing w:after="0" w:before="100"/>
      </w:pPr>
      <w:r>
        <w:t xml:space="preserve"/>
      </w:r>
    </w:p>
    <w:p>
      <w:pPr>
        <w:pBdr>
          <w:bottom w:val="single" w:color="2E75B6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1.1  Headline KPIs at a Glance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36"/>
                <w:szCs w:val="36"/>
              </w:rPr>
              <w:t xml:space="preserve">$91.27M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Total Revenue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Jan 2024 – Mar 2026</w:t>
            </w:r>
          </w:p>
        </w:tc>
        <w:tc>
          <w:tcPr>
            <w:tcW w:type="dxa" w:w="187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36"/>
                <w:szCs w:val="36"/>
              </w:rPr>
              <w:t xml:space="preserve">29,611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Total Units Sold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Across all products</w:t>
            </w:r>
          </w:p>
        </w:tc>
        <w:tc>
          <w:tcPr>
            <w:tcW w:type="dxa" w:w="187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36"/>
                <w:szCs w:val="36"/>
              </w:rPr>
              <w:t xml:space="preserve">$6,019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Avg Deal Size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Per closed deal</w:t>
            </w:r>
          </w:p>
        </w:tc>
        <w:tc>
          <w:tcPr>
            <w:tcW w:type="dxa" w:w="187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36"/>
                <w:szCs w:val="36"/>
              </w:rPr>
              <w:t xml:space="preserve">16.5 Days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Avg Sales Cycle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Lead to close</w:t>
            </w:r>
          </w:p>
        </w:tc>
        <w:tc>
          <w:tcPr>
            <w:tcW w:type="dxa" w:w="187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36"/>
                <w:szCs w:val="36"/>
              </w:rPr>
              <w:t xml:space="preserve">26.4%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Overall Win Rate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6"/>
                <w:szCs w:val="16"/>
              </w:rPr>
              <w:t xml:space="preserve">Deals / Total Leads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2E75B6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1.2  Executive Commentary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business has demonstrated strong revenue generation over the observed period, accumulating $91.27M in total revenue. The win rate of 26.4% — meaning roughly 1 in 4 leads convert to a closed deal — indicates a healthy but improvable pipeline efficiency. The average deal size of $6,019 is driven largely by Product C (avg. $7,000/deal), the highest-priced offering in the portfolio.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Revenue peaks were recorded in March–May across both 2024 and 2025, suggesting a seasonal demand cycle tied to Q1/Q2 business cycles. Conversely, January–February and November represent consistent dip periods, which should be factored into forecasting and campaign planning.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Amit leads the sales team with $27.78M in revenue (30.4% of total) and the highest win rate at 34.0%, making him the top performer by both revenue and conversion efficiency. Karan, while generating $16.06M, carries the lowest win rate at 19.0%, signaling a potential need for pipeline qualification training.</w:t>
      </w:r>
    </w:p>
    <w:p>
      <w:pPr>
        <w:spacing w:after="0" w:before="160"/>
      </w:pPr>
      <w:r>
        <w:t xml:space="preserve"/>
      </w:r>
    </w:p>
    <w:p>
      <w:pPr>
        <w:pBdr>
          <w:bottom w:val="single" w:color="2E75B6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1.3  Monthly Revenue Trend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Jan</w:t>
            </w:r>
          </w:p>
        </w:tc>
        <w:tc>
          <w:tcPr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Feb</w:t>
            </w:r>
          </w:p>
        </w:tc>
        <w:tc>
          <w:tcPr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Mar</w:t>
            </w:r>
          </w:p>
        </w:tc>
        <w:tc>
          <w:tcPr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Apr</w:t>
            </w:r>
          </w:p>
        </w:tc>
        <w:tc>
          <w:tcPr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May</w:t>
            </w:r>
          </w:p>
        </w:tc>
        <w:tc>
          <w:tcPr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Jun</w:t>
            </w:r>
          </w:p>
        </w:tc>
        <w:tc>
          <w:tcPr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Jul</w:t>
            </w:r>
          </w:p>
        </w:tc>
        <w:tc>
          <w:tcPr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Aug</w:t>
            </w:r>
          </w:p>
        </w:tc>
        <w:tc>
          <w:tcPr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Sep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$2.98M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$2.46M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$4.72M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$4.75M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$4.81M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$3.54M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$3.92M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$3.04M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$2.99M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Oct</w:t>
            </w:r>
          </w:p>
        </w:tc>
        <w:tc>
          <w:tcPr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Nov</w:t>
            </w:r>
          </w:p>
        </w:tc>
        <w:tc>
          <w:tcPr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Dec</w:t>
            </w:r>
          </w:p>
        </w:tc>
        <w:tc>
          <w:tcPr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Jan'25</w:t>
            </w:r>
          </w:p>
        </w:tc>
        <w:tc>
          <w:tcPr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Feb'25</w:t>
            </w:r>
          </w:p>
        </w:tc>
        <w:tc>
          <w:tcPr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Mar'25</w:t>
            </w:r>
          </w:p>
        </w:tc>
        <w:tc>
          <w:tcPr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Apr'25</w:t>
            </w:r>
          </w:p>
        </w:tc>
        <w:tc>
          <w:tcPr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May'25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$3.19M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$2.82M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$3.22M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$2.36M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$2.48M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$5.42M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$5.17M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$4.98M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Note: Green shading = peak months (&gt;$4.5M). Gray shading = trough months (&lt;$3.0M). The pattern repeats across 2024 and 2025, confirming a strong seasonal revenue cycle.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SECTION 2: PRODUCT, REGIONAL &amp; SALES REP ANALYSIS</w:t>
      </w:r>
    </w:p>
    <w:p>
      <w:pPr>
        <w:pBdr>
          <w:bottom w:val="single" w:color="2E75B6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2.1  Revenue &amp; Volume by Product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870"/>
        <w:gridCol w:w="1870"/>
        <w:gridCol w:w="1870"/>
        <w:gridCol w:w="1410"/>
      </w:tblGrid>
      <w:tr>
        <w:tc>
          <w:tcPr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Product</w:t>
            </w:r>
          </w:p>
        </w:tc>
        <w:tc>
          <w:tcPr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Total Revenue</w:t>
            </w:r>
          </w:p>
        </w:tc>
        <w:tc>
          <w:tcPr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Revenue Share</w:t>
            </w:r>
          </w:p>
        </w:tc>
        <w:tc>
          <w:tcPr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Units Sold</w:t>
            </w:r>
          </w:p>
        </w:tc>
        <w:tc>
          <w:tcPr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Avg Deal Size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Product C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$36,673,000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40.2%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10,058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$7,000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Product B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$30,474,000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33.4%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9,910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$6,000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Product A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$24,120,000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26.4%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9,643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$5,000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$91,267,000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100%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29,611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$6,019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Key Product Insights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Product C is the revenue leader at $36.67M (40.2% share), driven by the highest deal size of $7,000 — it generates more revenue per unit than any other product.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Product B contributes $30.47M (33.4%) and serves as a mid-tier volume driver with a $6,000 average deal size and 9,910 units sold.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Product A, while the lowest revenue contributor at $24.12M (26.4%), shows comparable unit volume (9,643) — its lower revenue is purely due to a lower price point of $5,000/deal.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Strategic opportunity: Upselling Product A customers to Product B or C could meaningfully lift average deal size and total revenue without increasing lead volume.</w:t>
      </w:r>
    </w:p>
    <w:p>
      <w:pPr>
        <w:spacing w:after="0" w:before="140"/>
      </w:pPr>
      <w:r>
        <w:t xml:space="preserve"/>
      </w:r>
    </w:p>
    <w:p>
      <w:pPr>
        <w:pBdr>
          <w:bottom w:val="single" w:color="2E75B6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2.2  Revenue by Region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Region</w:t>
            </w:r>
          </w:p>
        </w:tc>
        <w:tc>
          <w:tcPr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Total Revenue</w:t>
            </w:r>
          </w:p>
        </w:tc>
        <w:tc>
          <w:tcPr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Revenue Share</w:t>
            </w:r>
          </w:p>
        </w:tc>
        <w:tc>
          <w:tcPr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Performance Tier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North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$25,812,000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28.3%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1A"/>
                <w:sz w:val="20"/>
                <w:szCs w:val="20"/>
              </w:rPr>
              <w:t xml:space="preserve">Top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West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$23,867,000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26.2%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1A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East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$22,203,000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24.3%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860B"/>
                <w:sz w:val="20"/>
                <w:szCs w:val="20"/>
              </w:rPr>
              <w:t xml:space="preserve">Mid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South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$19,385,000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21.2%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20"/>
                <w:szCs w:val="20"/>
              </w:rPr>
              <w:t xml:space="preserve">Growth Opportunity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Key Regional Insights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North is the highest-performing region with $25.81M (28.3%), benefitting from concentrated activity from top performer Amit and strong Product C penetration.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West and East are closely competitive at $23.87M and $22.20M respectively, representing a combined 50.5% of total revenue — these are mature, high-potential markets.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South is the lowest revenue region at $19.39M (21.2%), presenting a clear growth opportunity. A targeted campaign to increase win rates and deal volume in the South could meaningfully shift overall revenue composition.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Regional revenue is relatively balanced (spread of only ~6.9%), which is a positive indicator of diversified market coverage and reduced concentration risk.</w:t>
      </w:r>
    </w:p>
    <w:p>
      <w:pPr>
        <w:spacing w:after="0" w:before="140"/>
      </w:pPr>
      <w:r>
        <w:t xml:space="preserve"/>
      </w:r>
    </w:p>
    <w:p>
      <w:pPr>
        <w:pBdr>
          <w:bottom w:val="single" w:color="2E75B6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2.3  Sales Representative Performance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950"/>
        <w:gridCol w:w="1560"/>
        <w:gridCol w:w="1560"/>
        <w:gridCol w:w="1560"/>
        <w:gridCol w:w="1170"/>
      </w:tblGrid>
      <w:tr>
        <w:tc>
          <w:tcPr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Rep</w:t>
            </w:r>
          </w:p>
        </w:tc>
        <w:tc>
          <w:tcPr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Total Revenue</w:t>
            </w:r>
          </w:p>
        </w:tc>
        <w:tc>
          <w:tcPr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Deals Closed</w:t>
            </w:r>
          </w:p>
        </w:tc>
        <w:tc>
          <w:tcPr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Total Leads</w:t>
            </w:r>
          </w:p>
        </w:tc>
        <w:tc>
          <w:tcPr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Win Rate</w:t>
            </w:r>
          </w:p>
        </w:tc>
        <w:tc>
          <w:tcPr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Rank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D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Amit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$27,779,000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4,617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~13,580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1A"/>
                <w:sz w:val="20"/>
                <w:szCs w:val="20"/>
              </w:rPr>
              <w:t xml:space="preserve">34.0%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#1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Neha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$24,709,000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4,095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~16,060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25.5%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#2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Riya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$22,724,000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3,772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~13,720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27.5%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#3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Karan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$16,055,000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2,658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~14,000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20"/>
                <w:szCs w:val="20"/>
              </w:rPr>
              <w:t xml:space="preserve">19.0%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#4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Key Sales Rep Insights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Amit is the standout performer with $27.78M in revenue, the highest win rate of 34.0%, and the most closed deals (4,617). He represents 30.4% of total organizational revenue.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Neha ranks second in revenue ($24.71M) but has a lower win rate of 25.5%, suggesting a high volume of less-qualified leads. With pipeline refinement, Neha holds significant upside potential.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Riya generates $22.72M with a 27.5% win rate — a solid mid-range performer with consistent execution across multiple regions.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Karan's win rate of 19.0% is the lowest on the team and significantly below the team average of 26.4%. His revenue ($16.06M) is also the lowest, indicating both a qualification and conversion challenge. Targeted coaching and lead scoring improvements are recommended.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performance gap between Amit (34.0% WR) and Karan (19.0% WR) represents a 15-point differential — if Karan's win rate improved to team average, an additional ~$3M+ in annual revenue could be unlocked.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SECTION 3: PIPELINE ANALYSIS, TRENDS &amp; STRATEGIC RECOMMENDATIONS</w:t>
      </w:r>
    </w:p>
    <w:p>
      <w:pPr>
        <w:pBdr>
          <w:bottom w:val="single" w:color="2E75B6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3.1  Pipeline Funnel Analysis by Product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680"/>
        <w:gridCol w:w="1680"/>
        <w:gridCol w:w="1680"/>
        <w:gridCol w:w="1260"/>
        <w:gridCol w:w="960"/>
      </w:tblGrid>
      <w:tr>
        <w:tc>
          <w:tcPr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Product</w:t>
            </w:r>
          </w:p>
        </w:tc>
        <w:tc>
          <w:tcPr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Sum of Leads</w:t>
            </w:r>
          </w:p>
        </w:tc>
        <w:tc>
          <w:tcPr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Opportunities</w:t>
            </w:r>
          </w:p>
        </w:tc>
        <w:tc>
          <w:tcPr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Deals Closed</w:t>
            </w:r>
          </w:p>
        </w:tc>
        <w:tc>
          <w:tcPr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Conv. Rate (L→D)</w:t>
            </w:r>
          </w:p>
        </w:tc>
        <w:tc>
          <w:tcPr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Opp/Lead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Product C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~18,500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~13,200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~9,700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1A"/>
                <w:sz w:val="20"/>
                <w:szCs w:val="20"/>
              </w:rPr>
              <w:t xml:space="preserve">~52.4%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71.4%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Product A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~17,000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~12,000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~8,500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860B"/>
                <w:sz w:val="20"/>
                <w:szCs w:val="20"/>
              </w:rPr>
              <w:t xml:space="preserve">~50.0%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70.6%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Product B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~17,200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~11,700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~7,400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20"/>
                <w:szCs w:val="20"/>
              </w:rPr>
              <w:t xml:space="preserve">~43.0%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68.0%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1A1A2E"/>
          <w:sz w:val="20"/>
          <w:szCs w:val="20"/>
        </w:rPr>
        <w:t xml:space="preserve">Note: Pipeline figures are estimated from the dashboard visuals (Leads ~5.2K/4.6K/4.1K per product per period shown in the dashboard). Product C has the highest lead-to-deal conversion rate, making it the most pipeline-efficient product.</w:t>
      </w:r>
    </w:p>
    <w:p>
      <w:pPr>
        <w:spacing w:after="0" w:before="140"/>
      </w:pPr>
      <w:r>
        <w:t xml:space="preserve"/>
      </w:r>
    </w:p>
    <w:p>
      <w:pPr>
        <w:pBdr>
          <w:bottom w:val="single" w:color="2E75B6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3.2  Seasonality &amp; Forecast Outlook</w:t>
      </w:r>
    </w:p>
    <w:p>
      <w:pPr>
        <w:spacing w:after="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Observed Seasonal Pattern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 clear and repeating seasonal revenue cycle has been identified across both full years of data: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Revenue Level</w:t>
            </w:r>
          </w:p>
        </w:tc>
        <w:tc>
          <w:tcPr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Trend</w:t>
            </w:r>
          </w:p>
        </w:tc>
        <w:tc>
          <w:tcPr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Action Signal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Jan–Feb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Low (~$2.4–2.5M/mo)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20"/>
                <w:szCs w:val="20"/>
              </w:rPr>
              <w:t xml:space="preserve">Trough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Increase prospecting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Mar–May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Peak (~$4.7–5.4M/mo)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1A"/>
                <w:sz w:val="20"/>
                <w:szCs w:val="20"/>
              </w:rPr>
              <w:t xml:space="preserve">Peak Season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Maximize capacity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Jun–Jul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Moderate (~$3.5–3.9M)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Tapering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Retain momentum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Aug–Sep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Low (~$3.0–3.2M)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55A11"/>
                <w:sz w:val="20"/>
                <w:szCs w:val="20"/>
              </w:rPr>
              <w:t xml:space="preserve">Secondary Trough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Pipeline refill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Oct–Dec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Recovering (~$3.0–3.4M)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8860B"/>
                <w:sz w:val="20"/>
                <w:szCs w:val="20"/>
              </w:rPr>
              <w:t xml:space="preserve">Recovery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Close pipeline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data also shows 2025 outperformed 2024 in the peak months — March 2025 reached $5.42M vs. $4.72M in March 2024 — representing 14.8% YoY growth in the peak period.</w:t>
      </w:r>
    </w:p>
    <w:p>
      <w:pPr>
        <w:spacing w:after="0" w:before="140"/>
      </w:pPr>
      <w:r>
        <w:t xml:space="preserve"/>
      </w:r>
    </w:p>
    <w:p>
      <w:pPr>
        <w:pBdr>
          <w:bottom w:val="single" w:color="2E75B6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3.3  Strategic Recommendations</w:t>
      </w:r>
    </w:p>
    <w:p>
      <w:pPr>
        <w:spacing w:after="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1. Improve Win Rate for Karan — High Priority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Karan's 19.0% win rate vs. the team average of 26.4% represents a significant gap. Implement structured sales coaching, lead qualification scoring (BANT/MEDDIC), and deal review sessions.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Recommended target: Raise Karan's win rate to at least 25% within two quarters. This alone could generate an incremental $2.5–3.5M in annual revenue.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 Double Down on Product C — Revenue Engine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Product C accounts for 40.2% of revenue and carries the highest deal size ($7,000). Ensure adequate inventory, marketing investment, and sales enablement is weighted toward Product 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Cross-sell and upsell pathways from Product A to Product C should be formalized in the sales playbook.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 Activate the South Region — Growth Whitespace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South contributes only 21.2% of revenue despite comparable rep coverage. Identify whether the gap is a market penetration issue or a rep allocation issue, then deploy targeted resources accordingly.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Consider assigning Amit — the highest win-rate performer — to lead key South accounts or mentor the South-focused reps.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 Seasonal Campaign Alignment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Pre-load pipeline in November–February to capitalize on the Q1/Q2 peak. Marketing campaigns, outbound prospecting, and webinars should be front-loaded to March-April closings.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Run retention and renewal campaigns in August–September to mitigate the secondary revenue dip observed during this period.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5. Pipeline Volume vs. Quality — Neha Focus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Neha generates the most leads (16,060+) but converts at only 25.5%. A lead qualification overhaul for Neha's pipeline could significantly improve revenue output without increasing lead generation costs.</w:t>
      </w:r>
    </w:p>
    <w:p>
      <w:pPr>
        <w:spacing w:after="0" w:before="160"/>
      </w:pPr>
      <w:r>
        <w:t xml:space="preserve"/>
      </w:r>
    </w:p>
    <w:p>
      <w:pPr>
        <w:pBdr>
          <w:bottom w:val="single" w:color="2E75B6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3.4  Summary Scorecard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160"/>
        <w:gridCol w:w="2160"/>
        <w:gridCol w:w="1920"/>
      </w:tblGrid>
      <w:tr>
        <w:tc>
          <w:tcPr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Current</w:t>
            </w:r>
          </w:p>
        </w:tc>
        <w:tc>
          <w:tcPr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Total Annual Revenue Run Rate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~$45M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&gt;$50M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1A"/>
                <w:sz w:val="20"/>
                <w:szCs w:val="20"/>
              </w:rPr>
              <w:t xml:space="preserve">On Track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Overall Win Rate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26.4%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&gt;30%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20"/>
                <w:szCs w:val="20"/>
              </w:rPr>
              <w:t xml:space="preserve">Needs Work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Avg Sales Cycle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16.5 Days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&lt;15 Days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20"/>
                <w:szCs w:val="20"/>
              </w:rPr>
              <w:t xml:space="preserve">Improve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Avg Deal Size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$6,019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&gt;$6,500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8860B"/>
                <w:sz w:val="20"/>
                <w:szCs w:val="20"/>
              </w:rPr>
              <w:t xml:space="preserve">Watch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South Region Share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21.2%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&gt;25%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Opportunity</w:t>
            </w:r>
          </w:p>
        </w:tc>
      </w:tr>
      <w:tr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Karan Win Rate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19.0%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&gt;25%</w:t>
            </w:r>
          </w:p>
        </w:tc>
        <w:tc>
          <w:tcPr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C0000"/>
                <w:sz w:val="20"/>
                <w:szCs w:val="20"/>
              </w:rPr>
              <w:t xml:space="preserve">Critical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top w:val="single" w:color="2E75B6" w:sz="6" w:space="8"/>
        </w:pBdr>
        <w:spacing w:after="40" w:before="200"/>
        <w:jc w:val="center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END OF REPORT</w:t>
      </w:r>
    </w:p>
    <w:p>
      <w:pPr>
        <w:jc w:val="center"/>
      </w:pPr>
      <w:r>
        <w:rPr>
          <w:rFonts w:ascii="Arial" w:cs="Arial" w:eastAsia="Arial" w:hAnsi="Arial"/>
          <w:i/>
          <w:iCs/>
          <w:color w:val="AAAAAA"/>
          <w:sz w:val="16"/>
          <w:szCs w:val="16"/>
        </w:rPr>
        <w:t xml:space="preserve">This report is based on 792 transactions recorded between January 2024 and March 2026. For queries, contact the Sales Analytics Division.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4"/>
      </w:pBdr>
      <w:tabs>
        <w:tab w:val="right" w:pos="9360"/>
      </w:tabs>
    </w:pPr>
    <w:r>
      <w:rPr>
        <w:rFonts w:ascii="Arial" w:cs="Arial" w:eastAsia="Arial" w:hAnsi="Arial"/>
        <w:color w:val="888888"/>
        <w:sz w:val="16"/>
        <w:szCs w:val="16"/>
      </w:rPr>
      <w:t xml:space="preserve">© 2026 Sales Analytics Division. Internal Use Only.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Sales Performance &amp; Forecast Report  |  FY 2024–2026</w:t>
    </w: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 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2026-04-04T15:24:40.783Z</dcterms:created>
  <dcterms:modified xsi:type="dcterms:W3CDTF">2026-04-04T15:24:40.783Z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