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3864"/>
          <w:sz w:val="40"/>
          <w:szCs w:val="40"/>
        </w:rPr>
        <w:t xml:space="preserve">Trader Performance vs Market Sentiment</w:t>
      </w:r>
    </w:p>
    <w:p>
      <w:pPr>
        <w:spacing w:after="200" w:before="0"/>
        <w:jc w:val="center"/>
      </w:pPr>
      <w:r>
        <w:rPr>
          <w:rFonts w:ascii="Arial" w:cs="Arial" w:eastAsia="Arial" w:hAnsi="Arial"/>
          <w:i/>
          <w:iCs/>
          <w:color w:val="2E75B6"/>
          <w:sz w:val="24"/>
          <w:szCs w:val="24"/>
        </w:rPr>
        <w:t xml:space="preserve">Analysis Summary — Hyperliquid Trading Data &amp; Fear/Greed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0"/>
                <w:szCs w:val="20"/>
              </w:rPr>
              <w:t xml:space="preserve">Datasets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fear_greed_index.csv  |  historical_data.csv (Hyperliquid)</w:t>
            </w:r>
          </w:p>
        </w:tc>
      </w:tr>
      <w:tr>
        <w:tc>
          <w:tcPr>
            <w:tcW w:type="dxa" w:w="2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0"/>
                <w:szCs w:val="20"/>
              </w:rPr>
              <w:t xml:space="preserve">Key Libraries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pandas, NumPy, Matplotlib, Seaborn</w:t>
            </w:r>
          </w:p>
        </w:tc>
      </w:tr>
      <w:tr>
        <w:tc>
          <w:tcPr>
            <w:tcW w:type="dxa" w:w="2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0"/>
                <w:szCs w:val="20"/>
              </w:rPr>
              <w:t xml:space="preserve">Analysis 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Per-trader, per-day, per-sentiment-classification</w:t>
            </w:r>
          </w:p>
        </w:tc>
      </w:tr>
      <w:tr>
        <w:tc>
          <w:tcPr>
            <w:tcW w:type="dxa" w:w="2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0"/>
                <w:szCs w:val="20"/>
              </w:rPr>
              <w:t xml:space="preserve">Sentiment Classes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Extreme Fear, Fear, Neutral, Greed, Extreme Greed</w:t>
            </w:r>
          </w:p>
        </w:tc>
      </w:tr>
    </w:tbl>
    <w:p>
      <w:pPr>
        <w:spacing w:after="0" w:before="240"/>
      </w:pPr>
    </w:p>
    <w:p>
      <w:pPr>
        <w:pStyle w:val="Heading1"/>
        <w:pBdr>
          <w:bottom w:val="single" w:color="2E75B6" w:sz="4" w:space="1"/>
        </w:pBdr>
        <w:spacing w:after="160" w:before="280"/>
      </w:pPr>
      <w:r>
        <w:rPr>
          <w:rFonts w:ascii="Arial" w:cs="Arial" w:eastAsia="Arial" w:hAnsi="Arial"/>
          <w:b/>
          <w:bCs/>
          <w:color w:val="1F3864"/>
          <w:sz w:val="28"/>
          <w:szCs w:val="28"/>
        </w:rPr>
        <w:t xml:space="preserve">1. Methodology</w:t>
      </w:r>
    </w:p>
    <w:p>
      <w:pPr>
        <w:pStyle w:val="Heading2"/>
        <w:spacing w:after="100" w:before="200"/>
      </w:pPr>
      <w:r>
        <w:rPr>
          <w:rFonts w:ascii="Arial" w:cs="Arial" w:eastAsia="Arial" w:hAnsi="Arial"/>
          <w:b/>
          <w:bCs/>
          <w:color w:val="2E75B6"/>
          <w:sz w:val="24"/>
          <w:szCs w:val="24"/>
        </w:rPr>
        <w:t xml:space="preserve">Data Loading &amp; Quality Checks</w:t>
      </w:r>
    </w:p>
    <w:p>
      <w:pPr>
        <w:spacing w:after="80" w:before="80"/>
        <w:jc w:val="both"/>
      </w:pPr>
      <w:r>
        <w:rPr>
          <w:rFonts w:ascii="Arial" w:cs="Arial" w:eastAsia="Arial" w:hAnsi="Arial"/>
          <w:sz w:val="22"/>
          <w:szCs w:val="22"/>
        </w:rPr>
        <w:t xml:space="preserve">Both datasets were loaded using pandas. Shape, missing values, and duplicate records were audited for each source. Timestamps in the trades file (Timestamp IST, formatted DD-MM-YYYY HH:MM) were parsed and truncated to daily granularity. The sentiment dataset already carried a daily date field, enabling a straightforward left-join on date.</w:t>
      </w:r>
    </w:p>
    <w:p>
      <w:pPr>
        <w:pStyle w:val="Heading2"/>
        <w:spacing w:after="100" w:before="200"/>
      </w:pPr>
      <w:r>
        <w:rPr>
          <w:rFonts w:ascii="Arial" w:cs="Arial" w:eastAsia="Arial" w:hAnsi="Arial"/>
          <w:b/>
          <w:bCs/>
          <w:color w:val="2E75B6"/>
          <w:sz w:val="24"/>
          <w:szCs w:val="24"/>
        </w:rPr>
        <w:t xml:space="preserve">Metric Engineering</w:t>
      </w:r>
    </w:p>
    <w:p>
      <w:pPr>
        <w:spacing w:after="80" w:before="80"/>
        <w:jc w:val="both"/>
      </w:pPr>
      <w:r>
        <w:rPr>
          <w:rFonts w:ascii="Arial" w:cs="Arial" w:eastAsia="Arial" w:hAnsi="Arial"/>
          <w:sz w:val="22"/>
          <w:szCs w:val="22"/>
        </w:rPr>
        <w:t xml:space="preserve">The merged dataframe supported the following derived metrics:</w:t>
      </w:r>
    </w:p>
    <w:p>
      <w:pPr>
        <w:pStyle w:val="ListParagraph"/>
        <w:numPr>
          <w:ilvl w:val="0"/>
          <w:numId w:val="2"/>
        </w:numPr>
        <w:spacing w:after="40" w:before="40"/>
      </w:pPr>
      <w:r>
        <w:rPr>
          <w:rFonts w:ascii="Arial" w:cs="Arial" w:eastAsia="Arial" w:hAnsi="Arial"/>
          <w:b w:val="false"/>
          <w:bCs w:val="false"/>
          <w:sz w:val="22"/>
          <w:szCs w:val="22"/>
        </w:rPr>
        <w:t xml:space="preserve">Closed PnL per trade and per trader (mean and sum aggregations)</w:t>
      </w:r>
    </w:p>
    <w:p>
      <w:pPr>
        <w:pStyle w:val="ListParagraph"/>
        <w:numPr>
          <w:ilvl w:val="0"/>
          <w:numId w:val="2"/>
        </w:numPr>
        <w:spacing w:after="40" w:before="40"/>
      </w:pPr>
      <w:r>
        <w:rPr>
          <w:rFonts w:ascii="Arial" w:cs="Arial" w:eastAsia="Arial" w:hAnsi="Arial"/>
          <w:b w:val="false"/>
          <w:bCs w:val="false"/>
          <w:sz w:val="22"/>
          <w:szCs w:val="22"/>
        </w:rPr>
        <w:t xml:space="preserve">Win flag — binary indicator where Closed PnL &gt; 0</w:t>
      </w:r>
    </w:p>
    <w:p>
      <w:pPr>
        <w:pStyle w:val="ListParagraph"/>
        <w:numPr>
          <w:ilvl w:val="0"/>
          <w:numId w:val="2"/>
        </w:numPr>
        <w:spacing w:after="40" w:before="40"/>
      </w:pPr>
      <w:r>
        <w:rPr>
          <w:rFonts w:ascii="Arial" w:cs="Arial" w:eastAsia="Arial" w:hAnsi="Arial"/>
          <w:b w:val="false"/>
          <w:bCs w:val="false"/>
          <w:sz w:val="22"/>
          <w:szCs w:val="22"/>
        </w:rPr>
        <w:t xml:space="preserve">Win rate per sentiment classification</w:t>
      </w:r>
    </w:p>
    <w:p>
      <w:pPr>
        <w:pStyle w:val="ListParagraph"/>
        <w:numPr>
          <w:ilvl w:val="0"/>
          <w:numId w:val="2"/>
        </w:numPr>
        <w:spacing w:after="40" w:before="40"/>
      </w:pPr>
      <w:r>
        <w:rPr>
          <w:rFonts w:ascii="Arial" w:cs="Arial" w:eastAsia="Arial" w:hAnsi="Arial"/>
          <w:b w:val="false"/>
          <w:bCs w:val="false"/>
          <w:sz w:val="22"/>
          <w:szCs w:val="22"/>
        </w:rPr>
        <w:t xml:space="preserve">Average trade size (Size USD) broken down by sentiment and side</w:t>
      </w:r>
    </w:p>
    <w:p>
      <w:pPr>
        <w:pStyle w:val="ListParagraph"/>
        <w:numPr>
          <w:ilvl w:val="0"/>
          <w:numId w:val="2"/>
        </w:numPr>
        <w:spacing w:after="40" w:before="40"/>
      </w:pPr>
      <w:r>
        <w:rPr>
          <w:rFonts w:ascii="Arial" w:cs="Arial" w:eastAsia="Arial" w:hAnsi="Arial"/>
          <w:b w:val="false"/>
          <w:bCs w:val="false"/>
          <w:sz w:val="22"/>
          <w:szCs w:val="22"/>
        </w:rPr>
        <w:t xml:space="preserve">Trade count per sentiment classification</w:t>
      </w:r>
    </w:p>
    <w:p>
      <w:pPr>
        <w:pStyle w:val="ListParagraph"/>
        <w:numPr>
          <w:ilvl w:val="0"/>
          <w:numId w:val="2"/>
        </w:numPr>
        <w:spacing w:after="40" w:before="40"/>
      </w:pPr>
      <w:r>
        <w:rPr>
          <w:rFonts w:ascii="Arial" w:cs="Arial" w:eastAsia="Arial" w:hAnsi="Arial"/>
          <w:b w:val="false"/>
          <w:bCs w:val="false"/>
          <w:sz w:val="22"/>
          <w:szCs w:val="22"/>
        </w:rPr>
        <w:t xml:space="preserve">Long/Short ratio (Buy vs Sell count) per sentiment window</w:t>
      </w:r>
    </w:p>
    <w:p>
      <w:pPr>
        <w:pStyle w:val="Heading2"/>
        <w:spacing w:after="100" w:before="200"/>
      </w:pPr>
      <w:r>
        <w:rPr>
          <w:rFonts w:ascii="Arial" w:cs="Arial" w:eastAsia="Arial" w:hAnsi="Arial"/>
          <w:b/>
          <w:bCs/>
          <w:color w:val="2E75B6"/>
          <w:sz w:val="24"/>
          <w:szCs w:val="24"/>
        </w:rPr>
        <w:t xml:space="preserve">Analysis Approach</w:t>
      </w:r>
    </w:p>
    <w:p>
      <w:pPr>
        <w:spacing w:after="80" w:before="80"/>
        <w:jc w:val="both"/>
      </w:pPr>
      <w:r>
        <w:rPr>
          <w:rFonts w:ascii="Arial" w:cs="Arial" w:eastAsia="Arial" w:hAnsi="Arial"/>
          <w:sz w:val="22"/>
          <w:szCs w:val="22"/>
        </w:rPr>
        <w:t xml:space="preserve">All metrics were grouped by the classification column (the Fear &amp; Greed label) to enable direct comparison across sentiment regimes. Trader-level aggregations were used to identify top and bottom performers. Visualization types included bar charts, grouped bar charts, and pie charts to surface distributional differences across sentiment classes.</w:t>
      </w:r>
    </w:p>
    <w:p>
      <w:pPr>
        <w:spacing w:after="0" w:before="240"/>
      </w:pPr>
    </w:p>
    <w:p>
      <w:pPr>
        <w:pStyle w:val="Heading1"/>
        <w:pBdr>
          <w:bottom w:val="single" w:color="2E75B6" w:sz="4" w:space="1"/>
        </w:pBdr>
        <w:spacing w:after="160" w:before="280"/>
      </w:pPr>
      <w:r>
        <w:rPr>
          <w:rFonts w:ascii="Arial" w:cs="Arial" w:eastAsia="Arial" w:hAnsi="Arial"/>
          <w:b/>
          <w:bCs/>
          <w:color w:val="1F3864"/>
          <w:sz w:val="28"/>
          <w:szCs w:val="28"/>
        </w:rPr>
        <w:t xml:space="preserve">2. Key Insights</w:t>
      </w:r>
    </w:p>
    <w:p>
      <w:pPr>
        <w:pStyle w:val="Heading2"/>
        <w:spacing w:after="100" w:before="200"/>
      </w:pPr>
      <w:r>
        <w:rPr>
          <w:rFonts w:ascii="Arial" w:cs="Arial" w:eastAsia="Arial" w:hAnsi="Arial"/>
          <w:b/>
          <w:bCs/>
          <w:color w:val="2E75B6"/>
          <w:sz w:val="24"/>
          <w:szCs w:val="24"/>
        </w:rPr>
        <w:t xml:space="preserve">Insight 1 — PnL Varies Meaningfully Across Sentiment Regimes</w:t>
      </w:r>
    </w:p>
    <w:p>
      <w:pPr>
        <w:spacing w:after="80" w:before="80"/>
        <w:jc w:val="both"/>
      </w:pPr>
      <w:r>
        <w:rPr>
          <w:rFonts w:ascii="Arial" w:cs="Arial" w:eastAsia="Arial" w:hAnsi="Arial"/>
          <w:sz w:val="22"/>
          <w:szCs w:val="22"/>
        </w:rPr>
        <w:t xml:space="preserve">Average Closed PnL per trade differs across Fear and Greed days. Greed-classified days tend to produce higher mean PnL, suggesting that positive sentiment environments are more favorable for profitability. This is consistent with the idea that trending, risk-on markets reduce adverse price action against open positions.</w:t>
      </w:r>
    </w:p>
    <w:p>
      <w:pPr>
        <w:pStyle w:val="Heading2"/>
        <w:spacing w:after="100" w:before="200"/>
      </w:pPr>
      <w:r>
        <w:rPr>
          <w:rFonts w:ascii="Arial" w:cs="Arial" w:eastAsia="Arial" w:hAnsi="Arial"/>
          <w:b/>
          <w:bCs/>
          <w:color w:val="2E75B6"/>
          <w:sz w:val="24"/>
          <w:szCs w:val="24"/>
        </w:rPr>
        <w:t xml:space="preserve">Insight 2 — Win Rate Is Not Uniform Across Sentiment</w:t>
      </w:r>
    </w:p>
    <w:p>
      <w:pPr>
        <w:spacing w:after="80" w:before="80"/>
        <w:jc w:val="both"/>
      </w:pPr>
      <w:r>
        <w:rPr>
          <w:rFonts w:ascii="Arial" w:cs="Arial" w:eastAsia="Arial" w:hAnsi="Arial"/>
          <w:sz w:val="22"/>
          <w:szCs w:val="22"/>
        </w:rPr>
        <w:t xml:space="preserve">The win rate (proportion of profitable trades) varies by sentiment class. Fear days are associated with lower win rates across the trader population. This points to heightened market volatility during fear-driven periods, where price action becomes erratic and stop-outs are more frequent. Greed days show comparatively higher win rates, particularly for buy-side (long) trades.</w:t>
      </w:r>
    </w:p>
    <w:p>
      <w:pPr>
        <w:pStyle w:val="Heading2"/>
        <w:spacing w:after="100" w:before="200"/>
      </w:pPr>
      <w:r>
        <w:rPr>
          <w:rFonts w:ascii="Arial" w:cs="Arial" w:eastAsia="Arial" w:hAnsi="Arial"/>
          <w:b/>
          <w:bCs/>
          <w:color w:val="2E75B6"/>
          <w:sz w:val="24"/>
          <w:szCs w:val="24"/>
        </w:rPr>
        <w:t xml:space="preserve">Insight 3 — Long/Short Bias Shifts With Sentiment</w:t>
      </w:r>
    </w:p>
    <w:p>
      <w:pPr>
        <w:spacing w:after="80" w:before="80"/>
        <w:jc w:val="both"/>
      </w:pPr>
      <w:r>
        <w:rPr>
          <w:rFonts w:ascii="Arial" w:cs="Arial" w:eastAsia="Arial" w:hAnsi="Arial"/>
          <w:sz w:val="22"/>
          <w:szCs w:val="22"/>
        </w:rPr>
        <w:t xml:space="preserve">During Greed and Extreme Greed periods, the ratio of Buy to Sell trades increases — traders lean long when sentiment is positive. Conversely, Fear days show a more balanced or sell-skewed distribution. This behavioral shift is intuitive but has practical implications: traders who follow the crowd long on Greed days face greater squeeze risk, while contrarian short positioning on Fear days can be rewarding if timed correctly.</w:t>
      </w:r>
    </w:p>
    <w:p>
      <w:pPr>
        <w:pStyle w:val="Heading2"/>
        <w:spacing w:after="100" w:before="200"/>
      </w:pPr>
      <w:r>
        <w:rPr>
          <w:rFonts w:ascii="Arial" w:cs="Arial" w:eastAsia="Arial" w:hAnsi="Arial"/>
          <w:b/>
          <w:bCs/>
          <w:color w:val="2E75B6"/>
          <w:sz w:val="24"/>
          <w:szCs w:val="24"/>
        </w:rPr>
        <w:t xml:space="preserve">Insight 4 — Position Sizing Scales With Sentiment</w:t>
      </w:r>
    </w:p>
    <w:p>
      <w:pPr>
        <w:spacing w:after="80" w:before="80"/>
        <w:jc w:val="both"/>
      </w:pPr>
      <w:r>
        <w:rPr>
          <w:rFonts w:ascii="Arial" w:cs="Arial" w:eastAsia="Arial" w:hAnsi="Arial"/>
          <w:sz w:val="22"/>
          <w:szCs w:val="22"/>
        </w:rPr>
        <w:t xml:space="preserve">Average Size USD is larger on Greed days than on Fear days. Traders appear to size up when confident (Greed) and size down when uncertain (Fear). This natural risk adjustment is broadly healthy, but the data suggests that over-sizing on Greed days — when crowded positioning is most prevalent — can amplify losses if sentiment reverses sharply.</w:t>
      </w:r>
    </w:p>
    <w:p>
      <w:pPr>
        <w:spacing w:after="0" w:before="240"/>
      </w:pPr>
    </w:p>
    <w:p>
      <w:pPr>
        <w:pStyle w:val="Heading1"/>
        <w:pBdr>
          <w:bottom w:val="single" w:color="2E75B6" w:sz="4" w:space="1"/>
        </w:pBdr>
        <w:spacing w:after="160" w:before="280"/>
      </w:pPr>
      <w:r>
        <w:rPr>
          <w:rFonts w:ascii="Arial" w:cs="Arial" w:eastAsia="Arial" w:hAnsi="Arial"/>
          <w:b/>
          <w:bCs/>
          <w:color w:val="1F3864"/>
          <w:sz w:val="28"/>
          <w:szCs w:val="28"/>
        </w:rPr>
        <w:t xml:space="preserve">3. Trader Segmentation</w:t>
      </w:r>
    </w:p>
    <w:p>
      <w:pPr>
        <w:spacing w:after="80" w:before="80"/>
        <w:jc w:val="both"/>
      </w:pPr>
      <w:r>
        <w:rPr>
          <w:rFonts w:ascii="Arial" w:cs="Arial" w:eastAsia="Arial" w:hAnsi="Arial"/>
          <w:sz w:val="22"/>
          <w:szCs w:val="22"/>
        </w:rPr>
        <w:t xml:space="preserve">Three natural segments emerge from the data:</w:t>
      </w:r>
    </w:p>
    <w:p>
      <w:pPr>
        <w:pStyle w:val="ListParagraph"/>
        <w:numPr>
          <w:ilvl w:val="0"/>
          <w:numId w:val="3"/>
        </w:numPr>
        <w:spacing w:after="40" w:before="60"/>
      </w:pPr>
      <w:r>
        <w:rPr>
          <w:rFonts w:ascii="Arial" w:cs="Arial" w:eastAsia="Arial" w:hAnsi="Arial"/>
          <w:b/>
          <w:bCs/>
          <w:sz w:val="22"/>
          <w:szCs w:val="22"/>
        </w:rPr>
        <w:t xml:space="preserve">Top performers vs bottom performers</w:t>
      </w:r>
      <w:r>
        <w:rPr>
          <w:rFonts w:ascii="Arial" w:cs="Arial" w:eastAsia="Arial" w:hAnsi="Arial"/>
          <w:sz w:val="22"/>
          <w:szCs w:val="22"/>
        </w:rPr>
        <w:t xml:space="preserve"> — The top 10 traders by mean PnL significantly outperform the bottom 10. Top performers show consistently positive average PnL across multiple sentiment regimes, suggesting edge that is not purely sentiment-dependent.</w:t>
      </w:r>
    </w:p>
    <w:p>
      <w:pPr>
        <w:pStyle w:val="ListParagraph"/>
        <w:numPr>
          <w:ilvl w:val="0"/>
          <w:numId w:val="3"/>
        </w:numPr>
        <w:spacing w:after="40" w:before="60"/>
      </w:pPr>
      <w:r>
        <w:rPr>
          <w:rFonts w:ascii="Arial" w:cs="Arial" w:eastAsia="Arial" w:hAnsi="Arial"/>
          <w:b/>
          <w:bCs/>
          <w:sz w:val="22"/>
          <w:szCs w:val="22"/>
        </w:rPr>
        <w:t xml:space="preserve">High-frequency vs low-frequency traders</w:t>
      </w:r>
      <w:r>
        <w:rPr>
          <w:rFonts w:ascii="Arial" w:cs="Arial" w:eastAsia="Arial" w:hAnsi="Arial"/>
          <w:sz w:val="22"/>
          <w:szCs w:val="22"/>
        </w:rPr>
        <w:t xml:space="preserve"> — Trade count per classification varies widely across accounts. High-frequency traders contribute disproportionately to total trade volume on Greed days, potentially benefiting from momentum but also taking on more execution risk.</w:t>
      </w:r>
    </w:p>
    <w:p>
      <w:pPr>
        <w:pStyle w:val="ListParagraph"/>
        <w:numPr>
          <w:ilvl w:val="0"/>
          <w:numId w:val="3"/>
        </w:numPr>
        <w:spacing w:after="80" w:before="60"/>
      </w:pPr>
      <w:r>
        <w:rPr>
          <w:rFonts w:ascii="Arial" w:cs="Arial" w:eastAsia="Arial" w:hAnsi="Arial"/>
          <w:b/>
          <w:bCs/>
          <w:sz w:val="22"/>
          <w:szCs w:val="22"/>
        </w:rPr>
        <w:t xml:space="preserve">Long-biased vs balanced traders</w:t>
      </w:r>
      <w:r>
        <w:rPr>
          <w:rFonts w:ascii="Arial" w:cs="Arial" w:eastAsia="Arial" w:hAnsi="Arial"/>
          <w:sz w:val="22"/>
          <w:szCs w:val="22"/>
        </w:rPr>
        <w:t xml:space="preserve"> — Some accounts show a persistent long bias regardless of sentiment, while others actively adjust. The latter group tends to produce more stable PnL across different market regimes.</w:t>
      </w:r>
    </w:p>
    <w:p>
      <w:pPr>
        <w:spacing w:after="0" w:before="240"/>
      </w:pPr>
    </w:p>
    <w:p>
      <w:pPr>
        <w:pStyle w:val="Heading1"/>
        <w:pBdr>
          <w:bottom w:val="single" w:color="2E75B6" w:sz="4" w:space="1"/>
        </w:pBdr>
        <w:spacing w:after="160" w:before="280"/>
      </w:pPr>
      <w:r>
        <w:rPr>
          <w:rFonts w:ascii="Arial" w:cs="Arial" w:eastAsia="Arial" w:hAnsi="Arial"/>
          <w:b/>
          <w:bCs/>
          <w:color w:val="1F3864"/>
          <w:sz w:val="28"/>
          <w:szCs w:val="28"/>
        </w:rPr>
        <w:t xml:space="preserve">4. Strategy Recommendations</w:t>
      </w:r>
    </w:p>
    <w:p>
      <w:pPr>
        <w:pStyle w:val="Heading2"/>
        <w:spacing w:after="100" w:before="200"/>
      </w:pPr>
      <w:r>
        <w:rPr>
          <w:rFonts w:ascii="Arial" w:cs="Arial" w:eastAsia="Arial" w:hAnsi="Arial"/>
          <w:b/>
          <w:bCs/>
          <w:color w:val="2E75B6"/>
          <w:sz w:val="24"/>
          <w:szCs w:val="24"/>
        </w:rPr>
        <w:t xml:space="preserve">Rule 1 — Reduce Leverage During Fear Days</w:t>
      </w:r>
    </w:p>
    <w:p>
      <w:pPr>
        <w:spacing w:after="80" w:before="80"/>
        <w:jc w:val="both"/>
      </w:pPr>
      <w:r>
        <w:rPr>
          <w:rFonts w:ascii="Arial" w:cs="Arial" w:eastAsia="Arial" w:hAnsi="Arial"/>
          <w:sz w:val="22"/>
          <w:szCs w:val="22"/>
        </w:rPr>
        <w:t xml:space="preserve">Bottom-performing traders show their deepest losses concentrated in Fear and Extreme Fear periods. The combination of lower win rates and larger adverse moves on fear days creates compounding drawdown. Practical rule: cap effective leverage at 2–3× whenever the Fear &amp; Greed Index falls below 30. This can be implemented as a pre-trade check in any systematic or semi-systematic strategy.</w:t>
      </w:r>
    </w:p>
    <w:p>
      <w:pPr>
        <w:pStyle w:val="Heading2"/>
        <w:spacing w:after="100" w:before="200"/>
      </w:pPr>
      <w:r>
        <w:rPr>
          <w:rFonts w:ascii="Arial" w:cs="Arial" w:eastAsia="Arial" w:hAnsi="Arial"/>
          <w:b/>
          <w:bCs/>
          <w:color w:val="2E75B6"/>
          <w:sz w:val="24"/>
          <w:szCs w:val="24"/>
        </w:rPr>
        <w:t xml:space="preserve">Rule 2 — Scale Trade Frequency With Sentiment (Top Performers Only)</w:t>
      </w:r>
    </w:p>
    <w:p>
      <w:pPr>
        <w:spacing w:after="80" w:before="80"/>
        <w:jc w:val="both"/>
      </w:pPr>
      <w:r>
        <w:rPr>
          <w:rFonts w:ascii="Arial" w:cs="Arial" w:eastAsia="Arial" w:hAnsi="Arial"/>
          <w:sz w:val="22"/>
          <w:szCs w:val="22"/>
        </w:rPr>
        <w:t xml:space="preserve">Top-quartile traders by average PnL show their best performance on Greed days when trade frequency is elevated. This suggests a sentiment-gated activity rule: increase the number of active positions or the frequency of entries when sentiment ≥ Greed (index ≥ 60), and reduce to a defensive, lower-frequency posture during Fear regimes. This rule should not be applied to bottom-performing accounts, where increased frequency on any day amplifies losses.</w:t>
      </w:r>
    </w:p>
    <w:p>
      <w:pPr>
        <w:spacing w:after="0" w:before="240"/>
      </w:pPr>
    </w:p>
    <w:p>
      <w:pPr>
        <w:pStyle w:val="Heading1"/>
        <w:pBdr>
          <w:bottom w:val="single" w:color="2E75B6" w:sz="4" w:space="1"/>
        </w:pBdr>
        <w:spacing w:after="160" w:before="280"/>
      </w:pPr>
      <w:r>
        <w:rPr>
          <w:rFonts w:ascii="Arial" w:cs="Arial" w:eastAsia="Arial" w:hAnsi="Arial"/>
          <w:b/>
          <w:bCs/>
          <w:color w:val="1F3864"/>
          <w:sz w:val="28"/>
          <w:szCs w:val="28"/>
        </w:rPr>
        <w:t xml:space="preserve">5. Limitations &amp; Next Steps</w:t>
      </w:r>
    </w:p>
    <w:p>
      <w:pPr>
        <w:pStyle w:val="ListParagraph"/>
        <w:numPr>
          <w:ilvl w:val="0"/>
          <w:numId w:val="2"/>
        </w:numPr>
        <w:spacing w:after="40" w:before="40"/>
      </w:pPr>
      <w:r>
        <w:rPr>
          <w:rFonts w:ascii="Arial" w:cs="Arial" w:eastAsia="Arial" w:hAnsi="Arial"/>
          <w:b w:val="false"/>
          <w:bCs w:val="false"/>
          <w:sz w:val="22"/>
          <w:szCs w:val="22"/>
        </w:rPr>
        <w:t xml:space="preserve">The analysis uses mean PnL as the primary performance metric; median or risk-adjusted returns (Sharpe, Calmar) would provide a more complete picture.</w:t>
      </w:r>
    </w:p>
    <w:p>
      <w:pPr>
        <w:pStyle w:val="ListParagraph"/>
        <w:numPr>
          <w:ilvl w:val="0"/>
          <w:numId w:val="2"/>
        </w:numPr>
        <w:spacing w:after="40" w:before="40"/>
      </w:pPr>
      <w:r>
        <w:rPr>
          <w:rFonts w:ascii="Arial" w:cs="Arial" w:eastAsia="Arial" w:hAnsi="Arial"/>
          <w:b w:val="false"/>
          <w:bCs w:val="false"/>
          <w:sz w:val="22"/>
          <w:szCs w:val="22"/>
        </w:rPr>
        <w:t xml:space="preserve">Leverage data was not explicitly available in the dataset; proxy metrics (Size USD relative to account equity) would strengthen the leverage segmentation.</w:t>
      </w:r>
    </w:p>
    <w:p>
      <w:pPr>
        <w:pStyle w:val="ListParagraph"/>
        <w:numPr>
          <w:ilvl w:val="0"/>
          <w:numId w:val="2"/>
        </w:numPr>
        <w:spacing w:after="40" w:before="40"/>
      </w:pPr>
      <w:r>
        <w:rPr>
          <w:rFonts w:ascii="Arial" w:cs="Arial" w:eastAsia="Arial" w:hAnsi="Arial"/>
          <w:b w:val="false"/>
          <w:bCs w:val="false"/>
          <w:sz w:val="22"/>
          <w:szCs w:val="22"/>
        </w:rPr>
        <w:t xml:space="preserve">A predictive model (e.g., logistic regression or gradient boosting) using sentiment + prior-day behavior features to classify next-day profitability is a natural extension.</w:t>
      </w:r>
    </w:p>
    <w:p>
      <w:pPr>
        <w:pStyle w:val="ListParagraph"/>
        <w:numPr>
          <w:ilvl w:val="0"/>
          <w:numId w:val="2"/>
        </w:numPr>
        <w:spacing w:after="40" w:before="40"/>
      </w:pPr>
      <w:r>
        <w:rPr>
          <w:rFonts w:ascii="Arial" w:cs="Arial" w:eastAsia="Arial" w:hAnsi="Arial"/>
          <w:b w:val="false"/>
          <w:bCs w:val="false"/>
          <w:sz w:val="22"/>
          <w:szCs w:val="22"/>
        </w:rPr>
        <w:t xml:space="preserve">Clustering traders into behavioral archetypes using k-means or DBSCAN on aggregated behavioral features would formalize the segmentation analysis.</w:t>
      </w:r>
    </w:p>
    <w:p>
      <w:pPr>
        <w:pStyle w:val="ListParagraph"/>
        <w:numPr>
          <w:ilvl w:val="0"/>
          <w:numId w:val="2"/>
        </w:numPr>
        <w:spacing w:after="40" w:before="40"/>
      </w:pPr>
      <w:r>
        <w:rPr>
          <w:rFonts w:ascii="Arial" w:cs="Arial" w:eastAsia="Arial" w:hAnsi="Arial"/>
          <w:b w:val="false"/>
          <w:bCs w:val="false"/>
          <w:sz w:val="22"/>
          <w:szCs w:val="22"/>
        </w:rPr>
        <w:t xml:space="preserve">A lightweight Streamlit dashboard would make the insights accessible to non-technical stakeholders in real time.</w:t>
      </w:r>
    </w:p>
    <w:p>
      <w:pPr>
        <w:spacing w:after="80" w:before="200"/>
      </w:pPr>
    </w:p>
    <w:p>
      <w:pPr>
        <w:jc w:val="center"/>
      </w:pPr>
      <w:r>
        <w:rPr>
          <w:rFonts w:ascii="Arial" w:cs="Arial" w:eastAsia="Arial" w:hAnsi="Arial"/>
          <w:i/>
          <w:iCs/>
          <w:color w:val="999999"/>
          <w:sz w:val="18"/>
          <w:szCs w:val="18"/>
        </w:rPr>
        <w:t xml:space="preserve">— End of Summary —</w:t>
      </w:r>
    </w:p>
    <w:sectPr>
      <w:head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Trader Performance vs Market Sentiment — Analysis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2026-04-15T06:58:36.926Z</dcterms:created>
  <dcterms:modified xsi:type="dcterms:W3CDTF">2026-04-15T06:58:36.926Z</dcterms:modified>
</cp:coreProperties>
</file>

<file path=docProps/custom.xml><?xml version="1.0" encoding="utf-8"?>
<Properties xmlns="http://schemas.openxmlformats.org/officeDocument/2006/custom-properties" xmlns:vt="http://schemas.openxmlformats.org/officeDocument/2006/docPropsVTypes"/>
</file>