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Aldermoor Patient &amp; Referral Portal - Statement of Requirements</w:t>
      </w:r>
    </w:p>
    <w:p>
      <w:r>
        <w:t>Issued by Aldermoor Health Trust Digital Procurement, version 1.2, 21 October 2026. Requirements marked MUST are mandatory; SHOULD are scored.</w:t>
      </w:r>
    </w:p>
    <w:p>
      <w:pPr>
        <w:pStyle w:val="Heading1"/>
      </w:pPr>
      <w:r>
        <w:t>1. Patient portal</w:t>
      </w:r>
    </w:p>
    <w:p>
      <w:r>
        <w:t>PP-01 - Patients view upcoming and past outpatient appointments for all three hospitals (MUST)</w:t>
      </w:r>
    </w:p>
    <w:p>
      <w:r>
        <w:t>PP-02 - Patients confirm, cancel or request to rebook an appointment; changes reach CarePoint within 5 minutes (MUST)</w:t>
      </w:r>
    </w:p>
    <w:p>
      <w:r>
        <w:t>PP-03 - Patients read clinic letters in the portal; letters with a confidentiality code are never shown (MUST)</w:t>
      </w:r>
    </w:p>
    <w:p>
      <w:r>
        <w:t>PP-04 - Pre-appointment questionnaires, configurable per clinic by Trust staff without supplier help (MUST)</w:t>
      </w:r>
    </w:p>
    <w:p>
      <w:r>
        <w:t>PP-05 - Proxy access for carers and parents, with an audit of what the proxy viewed (SHOULD)</w:t>
      </w:r>
    </w:p>
    <w:p>
      <w:r>
        <w:t>PP-06 - Portal available in English plus the five most common languages in the catchment (SHOULD)</w:t>
      </w:r>
    </w:p>
    <w:p>
      <w:pPr>
        <w:pStyle w:val="Heading1"/>
      </w:pPr>
      <w:r>
        <w:t>2. Referrals</w:t>
      </w:r>
    </w:p>
    <w:p>
      <w:r>
        <w:t>RF-01 - GP practices send referrals electronically with attachments up to 20 MB (MUST)</w:t>
      </w:r>
    </w:p>
    <w:p>
      <w:r>
        <w:t>RF-02 - Consultant triage worklist: accept, reject or redirect with a reason (MUST)</w:t>
      </w:r>
    </w:p>
    <w:p>
      <w:r>
        <w:t>RF-03 - Referral to treatment clock starts on receipt of the referral (MUST)</w:t>
      </w:r>
    </w:p>
    <w:p>
      <w:r>
        <w:t>RF-04 - Referrer sees the referral status without phoning the hospital (SHOULD)</w:t>
      </w:r>
    </w:p>
    <w:p>
      <w:pPr>
        <w:pStyle w:val="Heading1"/>
      </w:pPr>
      <w:r>
        <w:t>3. Integration</w:t>
      </w:r>
    </w:p>
    <w:p>
      <w:pPr>
        <w:pStyle w:val="ListBullet"/>
      </w:pPr>
      <w:r>
        <w:t>CarePoint EPR 11.4: read Patient, Appointment, Schedule and DocumentReference over FHIR R4.</w:t>
      </w:r>
    </w:p>
    <w:p>
      <w:pPr>
        <w:pStyle w:val="ListBullet"/>
      </w:pPr>
      <w:r>
        <w:t>Appointment write-back to CarePoint: FHIR if supported, otherwise HL7 v2 SIU through the Trust integration engine.</w:t>
      </w:r>
    </w:p>
    <w:p>
      <w:pPr>
        <w:pStyle w:val="ListBullet"/>
      </w:pPr>
      <w:r>
        <w:t>Patient demographics and merges from the HL7 v2 ADT feed (A04, A08, A40).</w:t>
      </w:r>
    </w:p>
    <w:p>
      <w:pPr>
        <w:pStyle w:val="ListBullet"/>
      </w:pPr>
      <w:r>
        <w:t>SMS and email reminders through the Trust's existing SMS gateway contract.</w:t>
      </w:r>
    </w:p>
    <w:p>
      <w:pPr>
        <w:pStyle w:val="Heading1"/>
      </w:pPr>
      <w:r>
        <w:t>4. Non-functional</w:t>
      </w:r>
    </w:p>
    <w:p>
      <w:pPr>
        <w:pStyle w:val="ListBullet"/>
      </w:pPr>
      <w:r>
        <w:t>Availability 99.5% from 07:00 to 22:00, seven days a week.</w:t>
      </w:r>
    </w:p>
    <w:p>
      <w:pPr>
        <w:pStyle w:val="ListBullet"/>
      </w:pPr>
      <w:r>
        <w:t>15,000 concurrent patient sessions at the Monday morning peak; page response under 2 seconds for 95% of requests.</w:t>
      </w:r>
    </w:p>
    <w:p>
      <w:pPr>
        <w:pStyle w:val="ListBullet"/>
      </w:pPr>
      <w:r>
        <w:t>Accessibility: WCAG 2.2 AA, verified by an independent audit before go-live.</w:t>
      </w:r>
    </w:p>
    <w:p>
      <w:pPr>
        <w:pStyle w:val="ListBullet"/>
      </w:pPr>
      <w:r>
        <w:t>Patient data hosted in the UK only. Audit trail of every record access kept for 8 years.</w:t>
      </w:r>
    </w:p>
    <w:p>
      <w:pPr>
        <w:pStyle w:val="Heading1"/>
      </w:pPr>
      <w:r>
        <w:t>5. Delivery</w:t>
      </w:r>
    </w:p>
    <w:p>
      <w:pPr>
        <w:pStyle w:val="ListBullet"/>
      </w:pPr>
      <w:r>
        <w:t>Clinical safety case and hazard log produced by the supplier's clinical safety officer.</w:t>
      </w:r>
    </w:p>
    <w:p>
      <w:pPr>
        <w:pStyle w:val="ListBullet"/>
      </w:pPr>
      <w:r>
        <w:t>Data protection impact assessment completed with the Trust's DPO before go-live.</w:t>
      </w:r>
    </w:p>
    <w:p>
      <w:pPr>
        <w:pStyle w:val="ListBullet"/>
      </w:pPr>
      <w:r>
        <w:t>Training for 14 booking clerks and about 120 clinicians; train-the-trainer is acceptable.</w:t>
      </w:r>
    </w:p>
    <w:p>
      <w:pPr>
        <w:pStyle w:val="ListBullet"/>
      </w:pPr>
      <w:r>
        <w:t>90 days of hypercare after each go-live.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 data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