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Mutual - Claims Platform RFP, Schedule 2: Requirements</w:t>
      </w:r>
    </w:p>
    <w:p>
      <w:r>
        <w:t>Version 1.0, 12 October 2026. M = mandatory, D = desirable.</w:t>
      </w:r>
    </w:p>
    <w:p>
      <w:pPr>
        <w:pStyle w:val="Heading1"/>
      </w:pPr>
      <w:r>
        <w:t>A. Claims handling</w:t>
      </w:r>
    </w:p>
    <w:p>
      <w:r>
        <w:t>CL-01 - First notification of loss by phone (handler), online (member) and broker (M)</w:t>
      </w:r>
    </w:p>
    <w:p>
      <w:r>
        <w:t>CL-02 - Automatic cover check and excess against the policy system at FNOL (M)</w:t>
      </w:r>
    </w:p>
    <w:p>
      <w:r>
        <w:t>CL-03 - Triage rules configurable by the business: fast-track, standard, complex, fraud referral (M)</w:t>
      </w:r>
    </w:p>
    <w:p>
      <w:r>
        <w:t>CL-04 - Reserving with authority limits per handler grade (EUR 5k / 25k / 100k / unlimited) (M)</w:t>
      </w:r>
    </w:p>
    <w:p>
      <w:r>
        <w:t>CL-05 - Settlement and payment, including partial and repeat payments (M)</w:t>
      </w:r>
    </w:p>
    <w:p>
      <w:r>
        <w:t>CL-06 - Motor recoveries from third-party insurers (D)</w:t>
      </w:r>
    </w:p>
    <w:p>
      <w:r>
        <w:t>CL-07 - Straight-through settlement for motor glass and travel cancellation under EUR 1,000 (D)</w:t>
      </w:r>
    </w:p>
    <w:p>
      <w:pPr>
        <w:pStyle w:val="Heading1"/>
      </w:pPr>
      <w:r>
        <w:t>B. Member and broker self-service</w:t>
      </w:r>
    </w:p>
    <w:p>
      <w:pPr>
        <w:pStyle w:val="ListBullet"/>
      </w:pPr>
      <w:r>
        <w:t>Members submit and track claims online with photo and document upload, signed in with their existing member portal account.</w:t>
      </w:r>
    </w:p>
    <w:p>
      <w:pPr>
        <w:pStyle w:val="ListBullet"/>
      </w:pPr>
      <w:r>
        <w:t>Brokers notify and track claims for their clients.</w:t>
      </w:r>
    </w:p>
    <w:p>
      <w:pPr>
        <w:pStyle w:val="ListBullet"/>
      </w:pPr>
      <w:r>
        <w:t>Status updates by email and SMS at each claim stage.</w:t>
      </w:r>
    </w:p>
    <w:p>
      <w:pPr>
        <w:pStyle w:val="Heading1"/>
      </w:pPr>
      <w:r>
        <w:t>C. Integration</w:t>
      </w:r>
    </w:p>
    <w:p>
      <w:pPr>
        <w:pStyle w:val="ListBullet"/>
      </w:pPr>
      <w:r>
        <w:t>Policy administration (mainframe) through REST services on the Larkspur API gateway.</w:t>
      </w:r>
    </w:p>
    <w:p>
      <w:pPr>
        <w:pStyle w:val="ListBullet"/>
      </w:pPr>
      <w:r>
        <w:t>Microsoft Dynamics 365 Finance: daily general ledger postings for reserves and payments.</w:t>
      </w:r>
    </w:p>
    <w:p>
      <w:pPr>
        <w:pStyle w:val="ListBullet"/>
      </w:pPr>
      <w:r>
        <w:t>Bank: SEPA credit transfer files (pain.001 out, pain.002 back).</w:t>
      </w:r>
    </w:p>
    <w:p>
      <w:pPr>
        <w:pStyle w:val="ListBullet"/>
      </w:pPr>
      <w:r>
        <w:t>Fraud scoring service (vendor to be selected): score at FNOL and on every reserve change.</w:t>
      </w:r>
    </w:p>
    <w:p>
      <w:pPr>
        <w:pStyle w:val="ListBullet"/>
      </w:pPr>
      <w:r>
        <w:t>Document system: 140 letter templates in English and Irish.</w:t>
      </w:r>
    </w:p>
    <w:p>
      <w:pPr>
        <w:pStyle w:val="Heading1"/>
      </w:pPr>
      <w:r>
        <w:t>D. Data migration</w:t>
      </w:r>
    </w:p>
    <w:p>
      <w:pPr>
        <w:pStyle w:val="ListBullet"/>
      </w:pPr>
      <w:r>
        <w:t>About 9,000 open claims with full history, reserves and payments.</w:t>
      </w:r>
    </w:p>
    <w:p>
      <w:pPr>
        <w:pStyle w:val="ListBullet"/>
      </w:pPr>
      <w:r>
        <w:t>About 1.4 million closed claims from the last seven years, read-only, searchable.</w:t>
      </w:r>
    </w:p>
    <w:p>
      <w:pPr>
        <w:pStyle w:val="ListBullet"/>
      </w:pPr>
      <w:r>
        <w:t>Reconciliation report proving reserves and paid totals match ClaimsOne to the cent.</w:t>
      </w:r>
    </w:p>
    <w:p>
      <w:pPr>
        <w:pStyle w:val="Heading1"/>
      </w:pPr>
      <w:r>
        <w:t>E. Non-functional and compliance</w:t>
      </w:r>
    </w:p>
    <w:p>
      <w:pPr>
        <w:pStyle w:val="ListBullet"/>
      </w:pPr>
      <w:r>
        <w:t>EU data residency (AWS Dublin). Encryption at rest and in transit.</w:t>
      </w:r>
    </w:p>
    <w:p>
      <w:pPr>
        <w:pStyle w:val="ListBullet"/>
      </w:pPr>
      <w:r>
        <w:t>Full audit trail of every decision, kept for 10 years after claim closure.</w:t>
      </w:r>
    </w:p>
    <w:p>
      <w:pPr>
        <w:pStyle w:val="ListBullet"/>
      </w:pPr>
      <w:r>
        <w:t>Explainable automated decisions for complaint handling.</w:t>
      </w:r>
    </w:p>
    <w:p>
      <w:pPr>
        <w:pStyle w:val="ListBullet"/>
      </w:pPr>
      <w:r>
        <w:t>Staff single sign-on through Okta, with multi-factor authentication.</w:t>
      </w:r>
    </w:p>
    <w:p>
      <w:pPr>
        <w:pStyle w:val="ListBullet"/>
      </w:pPr>
      <w:r>
        <w:t>Capacity for 3x normal volume in storm weeks without degradation.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 data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