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D85" w:rsidRPr="00D33D85" w:rsidRDefault="00D33D85" w:rsidP="00D33D85">
      <w:pPr>
        <w:shd w:val="clear" w:color="auto" w:fill="FFFFFF"/>
        <w:spacing w:after="420" w:line="405" w:lineRule="atLeast"/>
        <w:outlineLvl w:val="0"/>
        <w:rPr>
          <w:rFonts w:ascii="Oswald" w:eastAsia="Times New Roman" w:hAnsi="Oswald" w:cs="Times New Roman"/>
          <w:b/>
          <w:bCs/>
          <w:color w:val="395F90"/>
          <w:kern w:val="36"/>
          <w:sz w:val="27"/>
          <w:szCs w:val="27"/>
        </w:rPr>
      </w:pPr>
      <w:bookmarkStart w:id="0" w:name="_GoBack"/>
      <w:r w:rsidRPr="00D33D85">
        <w:rPr>
          <w:rFonts w:ascii="Oswald" w:eastAsia="Times New Roman" w:hAnsi="Oswald" w:cs="Times New Roman"/>
          <w:b/>
          <w:bCs/>
          <w:color w:val="395F90"/>
          <w:kern w:val="36"/>
          <w:sz w:val="27"/>
          <w:szCs w:val="27"/>
        </w:rPr>
        <w:t>X edition of PLOCAN’s Glider School</w:t>
      </w:r>
    </w:p>
    <w:p w:rsidR="00D33D85" w:rsidRPr="00D33D85" w:rsidRDefault="00D33D85" w:rsidP="00D33D85">
      <w:pPr>
        <w:shd w:val="clear" w:color="auto" w:fill="FFFFFF"/>
        <w:spacing w:after="300" w:line="240" w:lineRule="auto"/>
        <w:rPr>
          <w:rFonts w:ascii="PT Sans" w:eastAsia="Times New Roman" w:hAnsi="PT Sans" w:cs="Times New Roman"/>
          <w:color w:val="747474"/>
          <w:sz w:val="24"/>
          <w:szCs w:val="24"/>
        </w:rPr>
      </w:pPr>
      <w:r w:rsidRPr="00D33D85">
        <w:rPr>
          <w:rFonts w:ascii="PT Sans" w:eastAsia="Times New Roman" w:hAnsi="PT Sans" w:cs="Times New Roman"/>
          <w:color w:val="747474"/>
          <w:sz w:val="24"/>
          <w:szCs w:val="24"/>
        </w:rPr>
        <w:t>The 10th edition of PLOCAN’s Glider School brought together students from several countries, such as Canada, USA, Portugal, Australia, France, UK, Norway or Spain, with the six manufacturers of the available, operational submarine glider technologies, to remain as an international reference for high-level training on these autonomous, oceanic observation devices. The ten editions raise the number of students enrolled to 147 from 29 countries.</w:t>
      </w:r>
    </w:p>
    <w:p w:rsidR="00D33D85" w:rsidRPr="00D33D85" w:rsidRDefault="00D33D85" w:rsidP="00D33D85">
      <w:pPr>
        <w:shd w:val="clear" w:color="auto" w:fill="FFFFFF"/>
        <w:spacing w:after="300" w:line="240" w:lineRule="auto"/>
        <w:rPr>
          <w:rFonts w:ascii="PT Sans" w:eastAsia="Times New Roman" w:hAnsi="PT Sans" w:cs="Times New Roman"/>
          <w:color w:val="747474"/>
          <w:sz w:val="24"/>
          <w:szCs w:val="24"/>
        </w:rPr>
      </w:pPr>
      <w:r w:rsidRPr="00D33D85">
        <w:rPr>
          <w:rFonts w:ascii="PT Sans" w:eastAsia="Times New Roman" w:hAnsi="PT Sans" w:cs="Times New Roman"/>
          <w:color w:val="747474"/>
          <w:sz w:val="24"/>
          <w:szCs w:val="24"/>
        </w:rPr>
        <w:t>The new technologies provided by these vehicles allow scientists to obtain data on biogeochemical and physical parameters in surface and deep waters, and reduce the extremely high operating costs of oceanographic vessels, while at the same time, enhance their presence in the ocean. In consequence, a greater efficiency and sustainability are obtained in the context of the current ocean observing strategy, which is coordinated by the Global Ocean Observing System (</w:t>
      </w:r>
      <w:hyperlink r:id="rId5" w:history="1">
        <w:r w:rsidRPr="00D33D85">
          <w:rPr>
            <w:rFonts w:ascii="PT Sans" w:eastAsia="Times New Roman" w:hAnsi="PT Sans" w:cs="Times New Roman"/>
            <w:color w:val="395F90"/>
            <w:sz w:val="24"/>
            <w:szCs w:val="24"/>
          </w:rPr>
          <w:t>GOOS</w:t>
        </w:r>
      </w:hyperlink>
      <w:r w:rsidRPr="00D33D85">
        <w:rPr>
          <w:rFonts w:ascii="PT Sans" w:eastAsia="Times New Roman" w:hAnsi="PT Sans" w:cs="Times New Roman"/>
          <w:color w:val="747474"/>
          <w:sz w:val="24"/>
          <w:szCs w:val="24"/>
        </w:rPr>
        <w:t>), the </w:t>
      </w:r>
      <w:hyperlink r:id="rId6" w:history="1">
        <w:r w:rsidRPr="00D33D85">
          <w:rPr>
            <w:rFonts w:ascii="PT Sans" w:eastAsia="Times New Roman" w:hAnsi="PT Sans" w:cs="Times New Roman"/>
            <w:color w:val="395F90"/>
            <w:sz w:val="24"/>
            <w:szCs w:val="24"/>
          </w:rPr>
          <w:t>UNESCO Intergovernmental Oceanographic Commission</w:t>
        </w:r>
      </w:hyperlink>
      <w:r w:rsidRPr="00D33D85">
        <w:rPr>
          <w:rFonts w:ascii="PT Sans" w:eastAsia="Times New Roman" w:hAnsi="PT Sans" w:cs="Times New Roman"/>
          <w:color w:val="747474"/>
          <w:sz w:val="24"/>
          <w:szCs w:val="24"/>
        </w:rPr>
        <w:t> and the World Meteorological Organization (</w:t>
      </w:r>
      <w:hyperlink r:id="rId7" w:history="1">
        <w:r w:rsidRPr="00D33D85">
          <w:rPr>
            <w:rFonts w:ascii="PT Sans" w:eastAsia="Times New Roman" w:hAnsi="PT Sans" w:cs="Times New Roman"/>
            <w:color w:val="395F90"/>
            <w:sz w:val="24"/>
            <w:szCs w:val="24"/>
          </w:rPr>
          <w:t>OMM</w:t>
        </w:r>
      </w:hyperlink>
      <w:r w:rsidRPr="00D33D85">
        <w:rPr>
          <w:rFonts w:ascii="PT Sans" w:eastAsia="Times New Roman" w:hAnsi="PT Sans" w:cs="Times New Roman"/>
          <w:color w:val="747474"/>
          <w:sz w:val="24"/>
          <w:szCs w:val="24"/>
        </w:rPr>
        <w:t>), and which contributes to an applied use of the information generated by these devices in a range of different socio-economic sectors of the marine-maritime industry world-wide.</w:t>
      </w:r>
    </w:p>
    <w:p w:rsidR="00D33D85" w:rsidRPr="00D33D85" w:rsidRDefault="00D33D85" w:rsidP="00D33D85">
      <w:pPr>
        <w:shd w:val="clear" w:color="auto" w:fill="FFFFFF"/>
        <w:spacing w:after="300" w:line="240" w:lineRule="auto"/>
        <w:rPr>
          <w:rFonts w:ascii="PT Sans" w:eastAsia="Times New Roman" w:hAnsi="PT Sans" w:cs="Times New Roman"/>
          <w:color w:val="747474"/>
          <w:sz w:val="24"/>
          <w:szCs w:val="24"/>
        </w:rPr>
      </w:pPr>
      <w:r w:rsidRPr="00D33D85">
        <w:rPr>
          <w:rFonts w:ascii="PT Sans" w:eastAsia="Times New Roman" w:hAnsi="PT Sans" w:cs="Times New Roman"/>
          <w:color w:val="747474"/>
          <w:sz w:val="24"/>
          <w:szCs w:val="24"/>
        </w:rPr>
        <w:t>The X edition of PLOCAN’s Glider School spent several specific sessions on sensors and other accessory components that comprise these autonomous observation platforms, such as satellite telemetry, with the participation of global reference users from USA, Canada and UK, who shared their experiences with the students. It also included practical sessions, both in the laboratory and in open waters of Gran Canaria.</w:t>
      </w:r>
    </w:p>
    <w:p w:rsidR="00A20964" w:rsidRDefault="00A20964" w:rsidP="00A20964">
      <w:pPr>
        <w:pStyle w:val="NormalWeb"/>
        <w:shd w:val="clear" w:color="auto" w:fill="FFFFFF"/>
        <w:spacing w:before="0" w:beforeAutospacing="0" w:after="300" w:afterAutospacing="0"/>
        <w:rPr>
          <w:rFonts w:ascii="PT Sans" w:hAnsi="PT Sans"/>
          <w:color w:val="747474"/>
        </w:rPr>
      </w:pPr>
      <w:r>
        <w:rPr>
          <w:rFonts w:ascii="PT Sans" w:hAnsi="PT Sans"/>
          <w:color w:val="747474"/>
        </w:rPr>
        <w:t>Didactical contents will cover both hardware and software issues through theoretical and practical dedicated sessions in class, lab and open waters using real ocean-glider units by different technologies (Waveglider, Sailbuoy, Slocum, Seaglider and Seaexplorer), and focusing on ocean-glider features, capabilities and applications.</w:t>
      </w:r>
    </w:p>
    <w:p w:rsidR="00A20964" w:rsidRDefault="00A20964" w:rsidP="00A20964">
      <w:pPr>
        <w:pStyle w:val="NormalWeb"/>
        <w:shd w:val="clear" w:color="auto" w:fill="FFFFFF"/>
        <w:spacing w:before="0" w:beforeAutospacing="0" w:after="300" w:afterAutospacing="0"/>
        <w:rPr>
          <w:rFonts w:ascii="PT Sans" w:hAnsi="PT Sans"/>
          <w:color w:val="747474"/>
        </w:rPr>
      </w:pPr>
      <w:r>
        <w:rPr>
          <w:rFonts w:ascii="PT Sans" w:hAnsi="PT Sans"/>
          <w:color w:val="747474"/>
        </w:rPr>
        <w:t>This highly specialized training week represents a great opportunity for students and professionals worldwide to learn about the main commercial ocean-glider technologies.</w:t>
      </w:r>
    </w:p>
    <w:p w:rsidR="000B0C17" w:rsidRDefault="000B0C17">
      <w:pPr>
        <w:rPr>
          <w:rFonts w:ascii="PT Sans" w:hAnsi="PT Sans"/>
          <w:color w:val="747474"/>
          <w:shd w:val="clear" w:color="auto" w:fill="FFFFFF"/>
        </w:rPr>
      </w:pPr>
      <w:r>
        <w:rPr>
          <w:rFonts w:ascii="PT Sans" w:hAnsi="PT Sans"/>
          <w:color w:val="747474"/>
          <w:shd w:val="clear" w:color="auto" w:fill="FFFFFF"/>
        </w:rPr>
        <w:t>Sensors, Components, Practical Sessions765</w:t>
      </w:r>
    </w:p>
    <w:p w:rsidR="000B0C17" w:rsidRDefault="000B0C17">
      <w:pPr>
        <w:rPr>
          <w:rFonts w:ascii="PT Sans" w:hAnsi="PT Sans"/>
          <w:color w:val="747474"/>
          <w:shd w:val="clear" w:color="auto" w:fill="FFFFFF"/>
        </w:rPr>
      </w:pPr>
      <w:r>
        <w:rPr>
          <w:rFonts w:ascii="PT Sans" w:hAnsi="PT Sans"/>
          <w:color w:val="747474"/>
          <w:shd w:val="clear" w:color="auto" w:fill="FFFFFF"/>
        </w:rPr>
        <w:t>2014</w:t>
      </w:r>
    </w:p>
    <w:p w:rsidR="003006AF" w:rsidRDefault="003006AF">
      <w:pPr>
        <w:rPr>
          <w:rFonts w:ascii="PT Sans" w:hAnsi="PT Sans"/>
          <w:color w:val="747474"/>
          <w:shd w:val="clear" w:color="auto" w:fill="FFFFFF"/>
        </w:rPr>
      </w:pPr>
      <w:r>
        <w:rPr>
          <w:rFonts w:ascii="PT Sans" w:hAnsi="PT Sans"/>
          <w:color w:val="747474"/>
          <w:shd w:val="clear" w:color="auto" w:fill="FFFFFF"/>
        </w:rPr>
        <w:t>2013</w:t>
      </w:r>
    </w:p>
    <w:p w:rsidR="003006AF" w:rsidRDefault="003006AF">
      <w:pPr>
        <w:rPr>
          <w:rFonts w:ascii="PT Sans" w:hAnsi="PT Sans"/>
          <w:color w:val="747474"/>
          <w:shd w:val="clear" w:color="auto" w:fill="FFFFFF"/>
        </w:rPr>
      </w:pPr>
      <w:r>
        <w:rPr>
          <w:rFonts w:ascii="PT Sans" w:hAnsi="PT Sans"/>
          <w:color w:val="747474"/>
          <w:shd w:val="clear" w:color="auto" w:fill="FFFFFF"/>
        </w:rPr>
        <w:t>NOC</w:t>
      </w:r>
      <w:r w:rsidR="00650995">
        <w:rPr>
          <w:rFonts w:ascii="PT Sans" w:hAnsi="PT Sans"/>
          <w:color w:val="747474"/>
          <w:shd w:val="clear" w:color="auto" w:fill="FFFFFF"/>
        </w:rPr>
        <w:t>-Gwyn Grifiths</w:t>
      </w:r>
      <w:r>
        <w:rPr>
          <w:rFonts w:ascii="PT Sans" w:hAnsi="PT Sans"/>
          <w:color w:val="747474"/>
          <w:shd w:val="clear" w:color="auto" w:fill="FFFFFF"/>
        </w:rPr>
        <w:t xml:space="preserve"> </w:t>
      </w:r>
    </w:p>
    <w:p w:rsidR="003006AF" w:rsidRDefault="003006AF">
      <w:pPr>
        <w:rPr>
          <w:rFonts w:ascii="PT Sans" w:hAnsi="PT Sans"/>
          <w:color w:val="747474"/>
          <w:shd w:val="clear" w:color="auto" w:fill="FFFFFF"/>
        </w:rPr>
      </w:pPr>
      <w:r>
        <w:rPr>
          <w:rFonts w:ascii="PT Sans" w:hAnsi="PT Sans"/>
          <w:color w:val="747474"/>
          <w:shd w:val="clear" w:color="auto" w:fill="FFFFFF"/>
        </w:rPr>
        <w:t>PLOCAN-</w:t>
      </w:r>
      <w:r w:rsidR="00650995">
        <w:rPr>
          <w:rFonts w:ascii="PT Sans" w:hAnsi="PT Sans"/>
          <w:color w:val="747474"/>
          <w:shd w:val="clear" w:color="auto" w:fill="FFFFFF"/>
        </w:rPr>
        <w:t>Daura Vega, Alvro Lerenzo, Carlos Barera</w:t>
      </w:r>
    </w:p>
    <w:p w:rsidR="003006AF" w:rsidRDefault="003006AF">
      <w:pPr>
        <w:rPr>
          <w:rFonts w:ascii="PT Sans" w:hAnsi="PT Sans"/>
          <w:color w:val="747474"/>
          <w:shd w:val="clear" w:color="auto" w:fill="FFFFFF"/>
        </w:rPr>
      </w:pPr>
      <w:r>
        <w:rPr>
          <w:rFonts w:ascii="PT Sans" w:hAnsi="PT Sans"/>
          <w:color w:val="747474"/>
          <w:shd w:val="clear" w:color="auto" w:fill="FFFFFF"/>
        </w:rPr>
        <w:t>Liquid robotic</w:t>
      </w:r>
    </w:p>
    <w:p w:rsidR="00650995" w:rsidRDefault="00650995">
      <w:pPr>
        <w:rPr>
          <w:rFonts w:ascii="PT Sans" w:hAnsi="PT Sans"/>
          <w:color w:val="747474"/>
          <w:shd w:val="clear" w:color="auto" w:fill="FFFFFF"/>
        </w:rPr>
      </w:pPr>
      <w:r>
        <w:rPr>
          <w:rFonts w:ascii="PT Sans" w:hAnsi="PT Sans"/>
          <w:color w:val="747474"/>
          <w:shd w:val="clear" w:color="auto" w:fill="FFFFFF"/>
        </w:rPr>
        <w:t>Bluefin Robotics</w:t>
      </w:r>
    </w:p>
    <w:p w:rsidR="00650995" w:rsidRDefault="00650995">
      <w:pPr>
        <w:rPr>
          <w:rFonts w:ascii="PT Sans" w:hAnsi="PT Sans"/>
          <w:color w:val="747474"/>
          <w:shd w:val="clear" w:color="auto" w:fill="FFFFFF"/>
        </w:rPr>
      </w:pPr>
      <w:r>
        <w:rPr>
          <w:rFonts w:ascii="PT Sans" w:hAnsi="PT Sans"/>
          <w:color w:val="747474"/>
          <w:shd w:val="clear" w:color="auto" w:fill="FFFFFF"/>
        </w:rPr>
        <w:t>Kongsberg</w:t>
      </w:r>
    </w:p>
    <w:p w:rsidR="00650995" w:rsidRDefault="00650995">
      <w:pPr>
        <w:rPr>
          <w:rFonts w:ascii="PT Sans" w:hAnsi="PT Sans"/>
          <w:color w:val="747474"/>
          <w:shd w:val="clear" w:color="auto" w:fill="FFFFFF"/>
        </w:rPr>
      </w:pPr>
      <w:r>
        <w:rPr>
          <w:rFonts w:ascii="PT Sans" w:hAnsi="PT Sans"/>
          <w:color w:val="747474"/>
          <w:shd w:val="clear" w:color="auto" w:fill="FFFFFF"/>
        </w:rPr>
        <w:lastRenderedPageBreak/>
        <w:t>CLS</w:t>
      </w:r>
    </w:p>
    <w:p w:rsidR="00650995" w:rsidRDefault="00650995">
      <w:pPr>
        <w:rPr>
          <w:rFonts w:ascii="PT Sans" w:hAnsi="PT Sans"/>
          <w:color w:val="747474"/>
          <w:shd w:val="clear" w:color="auto" w:fill="FFFFFF"/>
        </w:rPr>
      </w:pPr>
      <w:r>
        <w:rPr>
          <w:rFonts w:ascii="PT Sans" w:hAnsi="PT Sans"/>
          <w:color w:val="747474"/>
          <w:shd w:val="clear" w:color="auto" w:fill="FFFFFF"/>
        </w:rPr>
        <w:t>Teledyne</w:t>
      </w:r>
    </w:p>
    <w:p w:rsidR="00650995" w:rsidRDefault="00650995">
      <w:pPr>
        <w:rPr>
          <w:rFonts w:ascii="PT Sans" w:hAnsi="PT Sans"/>
          <w:color w:val="747474"/>
          <w:shd w:val="clear" w:color="auto" w:fill="FFFFFF"/>
        </w:rPr>
      </w:pPr>
      <w:r>
        <w:rPr>
          <w:rFonts w:ascii="PT Sans" w:hAnsi="PT Sans"/>
          <w:color w:val="747474"/>
          <w:shd w:val="clear" w:color="auto" w:fill="FFFFFF"/>
        </w:rPr>
        <w:t>ACSA</w:t>
      </w:r>
    </w:p>
    <w:p w:rsidR="00650995" w:rsidRDefault="00650995">
      <w:pPr>
        <w:rPr>
          <w:rFonts w:ascii="PT Sans" w:hAnsi="PT Sans"/>
          <w:color w:val="747474"/>
          <w:shd w:val="clear" w:color="auto" w:fill="FFFFFF"/>
        </w:rPr>
      </w:pPr>
      <w:r>
        <w:rPr>
          <w:rFonts w:ascii="PT Sans" w:hAnsi="PT Sans"/>
          <w:color w:val="747474"/>
          <w:shd w:val="clear" w:color="auto" w:fill="FFFFFF"/>
        </w:rPr>
        <w:t>Exocetus</w:t>
      </w:r>
    </w:p>
    <w:p w:rsidR="00650995" w:rsidRDefault="00650995">
      <w:pPr>
        <w:rPr>
          <w:rFonts w:ascii="PT Sans" w:hAnsi="PT Sans"/>
          <w:color w:val="747474"/>
          <w:shd w:val="clear" w:color="auto" w:fill="FFFFFF"/>
        </w:rPr>
      </w:pPr>
      <w:r>
        <w:rPr>
          <w:rFonts w:ascii="PT Sans" w:hAnsi="PT Sans"/>
          <w:color w:val="747474"/>
          <w:shd w:val="clear" w:color="auto" w:fill="FFFFFF"/>
        </w:rPr>
        <w:t>Satlantic</w:t>
      </w:r>
    </w:p>
    <w:p w:rsidR="00650995" w:rsidRDefault="00650995">
      <w:pPr>
        <w:rPr>
          <w:rFonts w:ascii="PT Sans" w:hAnsi="PT Sans"/>
          <w:color w:val="747474"/>
          <w:shd w:val="clear" w:color="auto" w:fill="FFFFFF"/>
        </w:rPr>
      </w:pPr>
      <w:r>
        <w:rPr>
          <w:rFonts w:ascii="PT Sans" w:hAnsi="PT Sans"/>
          <w:color w:val="747474"/>
          <w:shd w:val="clear" w:color="auto" w:fill="FFFFFF"/>
        </w:rPr>
        <w:t>Seabird</w:t>
      </w:r>
    </w:p>
    <w:p w:rsidR="00650995" w:rsidRDefault="00650995">
      <w:pPr>
        <w:rPr>
          <w:rFonts w:ascii="PT Sans" w:hAnsi="PT Sans"/>
          <w:color w:val="747474"/>
          <w:shd w:val="clear" w:color="auto" w:fill="FFFFFF"/>
        </w:rPr>
      </w:pPr>
      <w:r>
        <w:rPr>
          <w:rFonts w:ascii="PT Sans" w:hAnsi="PT Sans"/>
          <w:color w:val="747474"/>
          <w:shd w:val="clear" w:color="auto" w:fill="FFFFFF"/>
        </w:rPr>
        <w:t>Kongsberg</w:t>
      </w:r>
    </w:p>
    <w:p w:rsidR="00650995" w:rsidRDefault="00650995">
      <w:pPr>
        <w:rPr>
          <w:rFonts w:ascii="PT Sans" w:hAnsi="PT Sans"/>
          <w:color w:val="747474"/>
          <w:shd w:val="clear" w:color="auto" w:fill="FFFFFF"/>
        </w:rPr>
      </w:pPr>
      <w:r>
        <w:rPr>
          <w:rFonts w:ascii="PT Sans" w:hAnsi="PT Sans"/>
          <w:color w:val="747474"/>
          <w:shd w:val="clear" w:color="auto" w:fill="FFFFFF"/>
        </w:rPr>
        <w:t>Contros S&amp;</w:t>
      </w:r>
      <w:r w:rsidR="002E3BD1">
        <w:rPr>
          <w:rFonts w:ascii="PT Sans" w:hAnsi="PT Sans"/>
          <w:color w:val="747474"/>
          <w:shd w:val="clear" w:color="auto" w:fill="FFFFFF"/>
        </w:rPr>
        <w:t>S</w:t>
      </w:r>
    </w:p>
    <w:p w:rsidR="002E3BD1" w:rsidRDefault="002E3BD1">
      <w:pPr>
        <w:rPr>
          <w:rFonts w:ascii="PT Sans" w:hAnsi="PT Sans"/>
          <w:color w:val="747474"/>
          <w:shd w:val="clear" w:color="auto" w:fill="FFFFFF"/>
        </w:rPr>
      </w:pPr>
      <w:r>
        <w:rPr>
          <w:rFonts w:ascii="PT Sans" w:hAnsi="PT Sans"/>
          <w:color w:val="747474"/>
          <w:shd w:val="clear" w:color="auto" w:fill="FFFFFF"/>
        </w:rPr>
        <w:t>BODC</w:t>
      </w:r>
    </w:p>
    <w:p w:rsidR="002E3BD1" w:rsidRDefault="002E3BD1">
      <w:pPr>
        <w:rPr>
          <w:rFonts w:ascii="PT Sans" w:hAnsi="PT Sans"/>
          <w:color w:val="747474"/>
          <w:shd w:val="clear" w:color="auto" w:fill="FFFFFF"/>
        </w:rPr>
      </w:pPr>
      <w:r>
        <w:rPr>
          <w:rFonts w:ascii="PT Sans" w:hAnsi="PT Sans"/>
          <w:color w:val="747474"/>
          <w:shd w:val="clear" w:color="auto" w:fill="FFFFFF"/>
        </w:rPr>
        <w:t>Rutgers univercity</w:t>
      </w:r>
    </w:p>
    <w:p w:rsidR="002E3BD1" w:rsidRDefault="002E3BD1">
      <w:pPr>
        <w:rPr>
          <w:rFonts w:ascii="PT Sans" w:hAnsi="PT Sans"/>
          <w:color w:val="747474"/>
          <w:shd w:val="clear" w:color="auto" w:fill="FFFFFF"/>
        </w:rPr>
      </w:pPr>
      <w:r>
        <w:rPr>
          <w:rFonts w:ascii="PT Sans" w:hAnsi="PT Sans"/>
          <w:color w:val="747474"/>
          <w:shd w:val="clear" w:color="auto" w:fill="FFFFFF"/>
        </w:rPr>
        <w:t>NOCS</w:t>
      </w:r>
    </w:p>
    <w:p w:rsidR="002E3BD1" w:rsidRDefault="002E3BD1">
      <w:pPr>
        <w:rPr>
          <w:rFonts w:ascii="PT Sans" w:hAnsi="PT Sans"/>
          <w:color w:val="747474"/>
          <w:shd w:val="clear" w:color="auto" w:fill="FFFFFF"/>
        </w:rPr>
      </w:pPr>
      <w:r>
        <w:rPr>
          <w:rFonts w:ascii="PT Sans" w:hAnsi="PT Sans"/>
          <w:color w:val="747474"/>
          <w:shd w:val="clear" w:color="auto" w:fill="FFFFFF"/>
        </w:rPr>
        <w:t>AANDERA</w:t>
      </w:r>
    </w:p>
    <w:p w:rsidR="002E3BD1" w:rsidRDefault="002E3BD1">
      <w:pPr>
        <w:rPr>
          <w:rFonts w:ascii="PT Sans" w:hAnsi="PT Sans"/>
          <w:color w:val="747474"/>
          <w:shd w:val="clear" w:color="auto" w:fill="FFFFFF"/>
        </w:rPr>
      </w:pPr>
      <w:r>
        <w:rPr>
          <w:rFonts w:ascii="PT Sans" w:hAnsi="PT Sans"/>
          <w:color w:val="747474"/>
          <w:shd w:val="clear" w:color="auto" w:fill="FFFFFF"/>
        </w:rPr>
        <w:t>Lab Activities</w:t>
      </w:r>
    </w:p>
    <w:p w:rsidR="002E3BD1" w:rsidRDefault="002E3BD1">
      <w:pPr>
        <w:rPr>
          <w:rFonts w:ascii="PT Sans" w:hAnsi="PT Sans"/>
          <w:color w:val="747474"/>
          <w:shd w:val="clear" w:color="auto" w:fill="FFFFFF"/>
        </w:rPr>
      </w:pPr>
      <w:r>
        <w:rPr>
          <w:rFonts w:ascii="PT Sans" w:hAnsi="PT Sans"/>
          <w:color w:val="747474"/>
          <w:shd w:val="clear" w:color="auto" w:fill="FFFFFF"/>
        </w:rPr>
        <w:t>Marine Activities</w:t>
      </w:r>
    </w:p>
    <w:p w:rsidR="002E3BD1" w:rsidRDefault="002E3BD1">
      <w:pPr>
        <w:rPr>
          <w:rFonts w:ascii="PT Sans" w:hAnsi="PT Sans"/>
          <w:color w:val="747474"/>
          <w:shd w:val="clear" w:color="auto" w:fill="FFFFFF"/>
        </w:rPr>
      </w:pPr>
    </w:p>
    <w:p w:rsidR="003006AF" w:rsidRDefault="003006AF">
      <w:pPr>
        <w:rPr>
          <w:rFonts w:ascii="PT Sans" w:hAnsi="PT Sans"/>
          <w:color w:val="747474"/>
          <w:shd w:val="clear" w:color="auto" w:fill="FFFFFF"/>
        </w:rPr>
      </w:pPr>
      <w:r>
        <w:rPr>
          <w:rFonts w:ascii="PT Sans" w:hAnsi="PT Sans"/>
          <w:color w:val="747474"/>
          <w:shd w:val="clear" w:color="auto" w:fill="FFFFFF"/>
        </w:rPr>
        <w:t>2012</w:t>
      </w:r>
    </w:p>
    <w:p w:rsidR="003006AF" w:rsidRDefault="003006AF">
      <w:pPr>
        <w:rPr>
          <w:rFonts w:ascii="PT Sans" w:hAnsi="PT Sans"/>
          <w:color w:val="747474"/>
          <w:shd w:val="clear" w:color="auto" w:fill="FFFFFF"/>
        </w:rPr>
      </w:pPr>
      <w:r>
        <w:rPr>
          <w:rFonts w:ascii="PT Sans" w:hAnsi="PT Sans"/>
          <w:color w:val="747474"/>
          <w:shd w:val="clear" w:color="auto" w:fill="FFFFFF"/>
        </w:rPr>
        <w:t>Formation</w:t>
      </w:r>
    </w:p>
    <w:p w:rsidR="003006AF" w:rsidRDefault="003006AF">
      <w:pPr>
        <w:rPr>
          <w:rFonts w:ascii="PT Sans" w:hAnsi="PT Sans"/>
          <w:color w:val="747474"/>
          <w:shd w:val="clear" w:color="auto" w:fill="FFFFFF"/>
        </w:rPr>
      </w:pPr>
      <w:r>
        <w:rPr>
          <w:rFonts w:ascii="PT Sans" w:hAnsi="PT Sans"/>
          <w:color w:val="747474"/>
          <w:shd w:val="clear" w:color="auto" w:fill="FFFFFF"/>
        </w:rPr>
        <w:t>Technology</w:t>
      </w:r>
    </w:p>
    <w:p w:rsidR="003006AF" w:rsidRDefault="003006AF">
      <w:pPr>
        <w:rPr>
          <w:rFonts w:ascii="PT Sans" w:hAnsi="PT Sans"/>
          <w:color w:val="747474"/>
          <w:shd w:val="clear" w:color="auto" w:fill="FFFFFF"/>
        </w:rPr>
      </w:pPr>
      <w:r>
        <w:rPr>
          <w:rFonts w:ascii="PT Sans" w:hAnsi="PT Sans"/>
          <w:color w:val="747474"/>
          <w:shd w:val="clear" w:color="auto" w:fill="FFFFFF"/>
        </w:rPr>
        <w:t>Aplication</w:t>
      </w:r>
    </w:p>
    <w:p w:rsidR="003006AF" w:rsidRDefault="003006AF">
      <w:pPr>
        <w:rPr>
          <w:rFonts w:ascii="PT Sans" w:hAnsi="PT Sans"/>
          <w:color w:val="747474"/>
          <w:shd w:val="clear" w:color="auto" w:fill="FFFFFF"/>
        </w:rPr>
      </w:pPr>
      <w:r>
        <w:rPr>
          <w:rFonts w:ascii="PT Sans" w:hAnsi="PT Sans"/>
          <w:color w:val="747474"/>
          <w:shd w:val="clear" w:color="auto" w:fill="FFFFFF"/>
        </w:rPr>
        <w:t>Scientific Curis</w:t>
      </w:r>
    </w:p>
    <w:p w:rsidR="003006AF" w:rsidRDefault="000B0C17">
      <w:pPr>
        <w:rPr>
          <w:rFonts w:ascii="PT Sans" w:hAnsi="PT Sans"/>
          <w:color w:val="747474"/>
          <w:shd w:val="clear" w:color="auto" w:fill="FFFFFF"/>
        </w:rPr>
      </w:pPr>
      <w:r>
        <w:rPr>
          <w:rFonts w:ascii="PT Sans" w:hAnsi="PT Sans"/>
          <w:color w:val="747474"/>
          <w:shd w:val="clear" w:color="auto" w:fill="FFFFFF"/>
        </w:rPr>
        <w:t>2011</w:t>
      </w:r>
    </w:p>
    <w:bookmarkEnd w:id="0"/>
    <w:p w:rsidR="003006AF" w:rsidRDefault="003006AF">
      <w:pPr>
        <w:rPr>
          <w:rFonts w:ascii="PT Sans" w:hAnsi="PT Sans"/>
          <w:color w:val="747474"/>
          <w:shd w:val="clear" w:color="auto" w:fill="FFFFFF"/>
        </w:rPr>
      </w:pPr>
    </w:p>
    <w:p w:rsidR="003006AF" w:rsidRDefault="003006AF"/>
    <w:sectPr w:rsidR="003006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swald">
    <w:altName w:val="Times New Roman"/>
    <w:panose1 w:val="00000000000000000000"/>
    <w:charset w:val="00"/>
    <w:family w:val="roman"/>
    <w:notTrueType/>
    <w:pitch w:val="default"/>
  </w:font>
  <w:font w:name="PT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5F2B"/>
    <w:rsid w:val="000B0C17"/>
    <w:rsid w:val="00205F2B"/>
    <w:rsid w:val="002E3BD1"/>
    <w:rsid w:val="003006AF"/>
    <w:rsid w:val="003D22A7"/>
    <w:rsid w:val="00602F08"/>
    <w:rsid w:val="00604F36"/>
    <w:rsid w:val="00650995"/>
    <w:rsid w:val="00A20964"/>
    <w:rsid w:val="00D33D85"/>
    <w:rsid w:val="00EE1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3D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D8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33D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3D8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33D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D8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33D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3D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574128">
      <w:bodyDiv w:val="1"/>
      <w:marLeft w:val="0"/>
      <w:marRight w:val="0"/>
      <w:marTop w:val="0"/>
      <w:marBottom w:val="0"/>
      <w:divBdr>
        <w:top w:val="none" w:sz="0" w:space="0" w:color="auto"/>
        <w:left w:val="none" w:sz="0" w:space="0" w:color="auto"/>
        <w:bottom w:val="none" w:sz="0" w:space="0" w:color="auto"/>
        <w:right w:val="none" w:sz="0" w:space="0" w:color="auto"/>
      </w:divBdr>
      <w:divsChild>
        <w:div w:id="1608462416">
          <w:marLeft w:val="0"/>
          <w:marRight w:val="0"/>
          <w:marTop w:val="0"/>
          <w:marBottom w:val="0"/>
          <w:divBdr>
            <w:top w:val="none" w:sz="0" w:space="0" w:color="auto"/>
            <w:left w:val="none" w:sz="0" w:space="0" w:color="auto"/>
            <w:bottom w:val="none" w:sz="0" w:space="0" w:color="auto"/>
            <w:right w:val="none" w:sz="0" w:space="0" w:color="auto"/>
          </w:divBdr>
        </w:div>
      </w:divsChild>
    </w:div>
    <w:div w:id="184963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lic.wmo.int/e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oc-unesco.org/" TargetMode="External"/><Relationship Id="rId5" Type="http://schemas.openxmlformats.org/officeDocument/2006/relationships/hyperlink" Target="https://www.goosocean.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1442</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teamOS</Company>
  <LinksUpToDate>false</LinksUpToDate>
  <CharactersWithSpaces>2641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Student_4</dc:creator>
  <cp:keywords/>
  <dc:description/>
  <cp:lastModifiedBy>Student_4</cp:lastModifiedBy>
  <cp:revision>1</cp:revision>
  <dcterms:created xsi:type="dcterms:W3CDTF">2020-03-22T07:19:00Z</dcterms:created>
  <dcterms:modified xsi:type="dcterms:W3CDTF">2020-03-24T06:36:00Z</dcterms:modified>
</cp:coreProperties>
</file>