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智能燃气监测与自动防护系统</w:t>
      </w:r>
    </w:p>
    <w:p>
      <w:pPr>
        <w:jc w:val="center"/>
      </w:pPr>
      <w:r>
        <w:rPr>
          <w:rFonts w:ascii="Noto Sans CJK SC" w:hAnsi="Noto Sans CJK SC" w:eastAsia="Noto Sans CJK SC"/>
          <w:b/>
          <w:sz w:val="30"/>
        </w:rPr>
        <w:t>硬件器件选择、引脚分配与接线设计说明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95959"/>
          <w:sz w:val="22"/>
        </w:rPr>
        <w:t>STM32F103C8T6 最小系统板 · 课设定稿方案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708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定稿内容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主控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STM32F103C8T6 最小系统板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气体检测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MQ-4 + MQ-7 + MQ-8，三路模拟量 ADC 采集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显示/存储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SSD1306 OLED（I2C1）+ AT24C02（I2C2）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通信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USART1→USB-TTL/PC，USART2→HC-05/手机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执行与报警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蜂鸣器 + 三色状态 LED + 继电器模拟燃气阀 + 阀门状态 LED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人机输入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4 个 KEY：模式、阈值+、阈值-、安全确认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不采用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风扇/电机模块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本版用途：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用于后续原理图修改、Proteus 仿真、PCB 绘制、电路焊接、STM32CubeMX 配置和软件编写。除非出现实际器件电平或封装问题，后续尽量不再改变 MCU 引脚。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系统目标与总体方案</w:t>
      </w:r>
    </w:p>
    <w:p>
      <w:r>
        <w:t>系统对三类气体进行独立检测，通过 STM32 ADC 获取三路模拟信号，实时显示检测值并与各自阈值比较。当任一路进入危险状态时，系统进行声光报警，并通过继电器模拟关闭燃气阀。报警解除后阀门不自动恢复，必须在环境恢复安全后按下 KEY4 进行人工确认。阈值和历史报警信息保存到 AT24C02，可通过 OLED、PC 串口或蓝牙进行显示/查询。</w:t>
      </w:r>
    </w:p>
    <w:p>
      <w:pPr>
        <w:keepLines/>
        <w:spacing w:before="40" w:after="120" w:line="240" w:lineRule="auto"/>
        <w:ind w:left="340" w:right="340"/>
        <w:shd w:fill="F5F5F5"/>
      </w:pPr>
      <w:r>
        <w:rPr>
          <w:rFonts w:ascii="DejaVu Sans Mono" w:hAnsi="DejaVu Sans Mono" w:eastAsia="DejaVu Sans Mono"/>
          <w:b w:val="0"/>
          <w:sz w:val="17"/>
        </w:rPr>
        <w:t>MQ-4 ─┐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MQ-7 ─┼─&gt; ADC ─&gt; STM32F103C8T6 ─┬─&gt; OLED 实时显示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MQ-8 ─┘                          ├─&gt; 绿/黄/红 LED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                         ├─&gt; 蜂鸣器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KEY1/2/3/4 ─────────────────────&gt;├─&gt; 继电器（模拟燃气阀）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                         ├─&gt; 阀门状态 LED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                         ├─&gt; AT24C02 历史/参数存储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                         ├─&gt; USB-TTL → PC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                         └─&gt; HC-05 → 手机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NORMAL：各气体均低于预警阈值，绿灯亮，蜂鸣器关闭，阀门允许开启。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WARNING：某一路接近/超过预警阈值但未达到危险阈值，黄灯亮，OLED 给出预警。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ALARM：任一路超过危险阈值，红灯亮、蜂鸣器报警、继电器进入关阀状态，并记录事件。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SAFE RESET：气体恢复安全后仍保持阀门关闭，只有按下 KEY4 才允许恢复。</w:t>
      </w:r>
    </w:p>
    <w:p>
      <w:pPr>
        <w:pStyle w:val="Heading1"/>
      </w:pPr>
      <w:r>
        <w:t>2. 硬件器件选择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47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类别</w:t>
            </w:r>
          </w:p>
        </w:tc>
        <w:tc>
          <w:tcPr>
            <w:tcW w:type="dxa" w:w="255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器件</w:t>
            </w:r>
          </w:p>
        </w:tc>
        <w:tc>
          <w:tcPr>
            <w:tcW w:type="dxa" w:w="90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数量</w:t>
            </w:r>
          </w:p>
        </w:tc>
        <w:tc>
          <w:tcPr>
            <w:tcW w:type="dxa" w:w="45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用途/说明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主控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STM32F103C8T6 最小系统板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负责 ADC、I2C、USART、EXTI、GPIO；保留 SWD 下载调试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甲烷/天然气检测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MQ-4 模块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使用 AO 模拟输出，DO 不使用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一氧化碳检测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MQ-7 模块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使用 AO 模拟输出，DO 不使用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氢气检测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MQ-8 模块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使用 AO 模拟输出，DO 不使用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显示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0.96 英寸 SSD1306 I2C OLED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I2C1 独占，显示实时值、阈值、状态、历史信息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掉电存储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AT24C02 EEPROM 模块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I2C2 独占，保存阈值和报警记录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蓝牙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HC-05 模块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USART2，与手机蓝牙串口工具通信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PC 调试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CH340/USB-TTL 模块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USART1，串口打印、历史查询、调试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执行器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5V 单路继电器模块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模拟电磁阀开/关；优先选 3.3V 输入可识别的模块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报警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有源蜂鸣器模块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GPIO 控制开/关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状态指示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LED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绿/黄/红状态灯 + 阀门状态灯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按键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6×6×5 mm 轻触按键/KEY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模式、加、减、安全确认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电源开关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SS-12D06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作为总电源开关，不占 MCU GPIO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ADC 分压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10 kΩ + 18 kΩ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各 3 个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每一路 MQ AO 限制到 3.3V ADC 安全范围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ADC 滤波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100 nF 陶瓷电容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每一路 ADC 节点对地，抑制噪声，可选但建议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电源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12V 输入 + 5V DC-DC 降压模块</w:t>
            </w:r>
          </w:p>
        </w:tc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 套</w:t>
            </w:r>
          </w:p>
        </w:tc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MQ、继电器等由 5V 供电；STM32 板按其 5V/3.3V 入口供电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LED 说明：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如果使用的是带板载限流电阻的 LED 模块，可不再外接电阻；如果是裸 5 mm LED，必须串联限流电阻（常用 220 Ω～1 kΩ），不能直接由 GPIO 驱动裸 LED。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MQ 显示值说明：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如果没有使用标准气体进行 Rs/R0 标定，不建议把 ADC 映射值直接宣称为真实 ppm。课设可显示“ADC 值/相对浓度/百分比等级”，或在完成标定后再显示 ppm。</w:t>
            </w:r>
          </w:p>
        </w:tc>
      </w:tr>
    </w:tbl>
    <w:p>
      <w:pPr>
        <w:spacing w:after="0"/>
      </w:pPr>
    </w:p>
    <w:p>
      <w:pPr>
        <w:pStyle w:val="Heading1"/>
      </w:pPr>
      <w:r>
        <w:t>3. STM32 最终引脚分配（建议冻结）</w:t>
      </w:r>
    </w:p>
    <w:p>
      <w:r>
        <w:t>本方案取消 I2C1 重映射，使用默认 PB6/PB7；OLED 与 EEPROM 分别使用 I2C1、I2C2，代码和调试更直观。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113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MCU 引脚</w:t>
            </w:r>
          </w:p>
        </w:tc>
        <w:tc>
          <w:tcPr>
            <w:tcW w:type="dxa" w:w="170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复用功能</w:t>
            </w:r>
          </w:p>
        </w:tc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连接对象</w:t>
            </w:r>
          </w:p>
        </w:tc>
        <w:tc>
          <w:tcPr>
            <w:tcW w:type="dxa" w:w="13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方向</w:t>
            </w:r>
          </w:p>
        </w:tc>
        <w:tc>
          <w:tcPr>
            <w:tcW w:type="dxa" w:w="300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ADC1_IN0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MQ-4 AO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经 10k/18k 分压后接入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PA1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ADC1_IN1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MQ-7 AO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经 10k/18k 分压后接入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PA4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ADC1_IN4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MQ-8 AO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经 10k/18k 分压后接入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PA2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USART2_TX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HC-05 RXD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STM32 → HC-05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PA3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USART2_RX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HC-05 TXD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HC-05 → STM32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PA9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USART1_TX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USB-TTL RXD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STM32 → PC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PA10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USART1_RX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USB-TTL TXD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PC → STM32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PB6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I2C1_SCL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OLED SCL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双向总线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I2C1 默认引脚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PB7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I2C1_SDA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OLED SDA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双向总线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I2C1 默认引脚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PB10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I2C2_SCL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AT24C02 SCL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双向总线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I2C2 默认引脚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PB11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I2C2_SDA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AT24C02 SDA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双向总线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I2C2 默认引脚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PB8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GPIO_Output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绿 LED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NORMAL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PB9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GPIO_Output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黄 LED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WARNING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PA6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GPIO_Output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红 LED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ALARM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PA7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GPIO_Output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蜂鸣器 IN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有源蜂鸣器模块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PB12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GPIO_EXTI12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KEY1 模式/选择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内部上拉，下降沿中断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PB13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GPIO_EXTI13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KEY2 +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内部上拉，下降沿中断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PB14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GPIO_EXTI14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KEY3 -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内部上拉，下降沿中断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PB15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GPIO_EXTI15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KEY4 安全确认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输入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内部上拉，下降沿中断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PA8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GPIO_Output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继电器 IN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模拟燃气阀执行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PA5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GPIO_Output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阀门状态 LED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输出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显示 OPEN/CLOSED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PA13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SWDIO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ST-Link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调试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PA14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SWCLK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ST-Link</w:t>
            </w:r>
          </w:p>
        </w:tc>
        <w:tc>
          <w:tcPr>
            <w:tcW w:type="dxa" w:w="1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调试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保留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资源余量：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该分配仍保留 PA11、PA12、PA15、PB0、PB1、PB3、PB4、PB5 等若干 GPIO（其中部分与 JTAG/USB 等复用功能相关）。当前课设资源充足，不需要为了省引脚而共享 OLED 与 EEPROM 的 I2C 总线。</w:t>
            </w:r>
          </w:p>
        </w:tc>
      </w:tr>
    </w:tbl>
    <w:p>
      <w:pPr>
        <w:spacing w:after="0"/>
      </w:pPr>
    </w:p>
    <w:p>
      <w:pPr>
        <w:pStyle w:val="Heading1"/>
      </w:pPr>
      <w:r>
        <w:t>4. 各模块详细接线</w:t>
      </w:r>
    </w:p>
    <w:p>
      <w:pPr>
        <w:pStyle w:val="Heading2"/>
      </w:pPr>
      <w:r>
        <w:t>4.1 电源与共地</w:t>
      </w:r>
    </w:p>
    <w:p>
      <w:pPr>
        <w:keepLines/>
        <w:spacing w:before="40" w:after="120" w:line="240" w:lineRule="auto"/>
        <w:ind w:left="340" w:right="340"/>
        <w:shd w:fill="F5F5F5"/>
      </w:pPr>
      <w:r>
        <w:rPr>
          <w:rFonts w:ascii="DejaVu Sans Mono" w:hAnsi="DejaVu Sans Mono" w:eastAsia="DejaVu Sans Mono"/>
          <w:b w:val="0"/>
          <w:sz w:val="17"/>
        </w:rPr>
        <w:t>12V DC 输入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│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SS-12D06 总电源开关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│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└─&gt; 5V DC-DC ─┬─&gt; MQ-4 / MQ-7 / MQ-8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          ├─&gt; 5V 继电器模块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          ├─&gt; HC-05 模块（若为常见带稳压底板版本）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          └─&gt; STM32 最小系统板 5V 入口（按板卡实际标注）</w:t>
      </w:r>
      <w:r>
        <w:br/>
      </w:r>
      <w:r>
        <w:rPr>
          <w:rFonts w:ascii="DejaVu Sans Mono" w:hAnsi="DejaVu Sans Mono" w:eastAsia="DejaVu Sans Mono"/>
          <w:b w:val="0"/>
          <w:sz w:val="17"/>
        </w:rPr>
      </w:r>
      <w:r>
        <w:br/>
      </w:r>
      <w:r>
        <w:rPr>
          <w:rFonts w:ascii="DejaVu Sans Mono" w:hAnsi="DejaVu Sans Mono" w:eastAsia="DejaVu Sans Mono"/>
          <w:b w:val="0"/>
          <w:sz w:val="17"/>
        </w:rPr>
        <w:t>STM32 3.3V ───────&gt; OLED、AT24C02（优先 3.3V 供电）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所有模块 GND ─────&gt; 系统公共 GND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三个 MQ 模块的加热器耗电较明显，5V 电源建议至少 1A，实际设计优先按 2A 留余量。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OLED/AT24C02 若模块板带 I2C 上拉，优先让其上拉到 3.3V，避免把 SDA/SCL 拉到 5V。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HC-05 若是裸核心模块而非带底板模块，应按 3.3V 规格供电；本课设常见 HC-05 底板通常可从 5V VCC 供电，但仍以实物丝印/模块资料为准。</w:t>
      </w:r>
    </w:p>
    <w:p>
      <w:pPr>
        <w:pStyle w:val="Heading2"/>
      </w:pPr>
      <w:r>
        <w:t>4.2 三路 MQ 模块与 ADC 分压</w:t>
      </w:r>
    </w:p>
    <w:p>
      <w:r>
        <w:t>MQ 模块 VCC 接 5V、GND 接公共地，只使用 AO。由于 AO 可能高于 STM32 ADC 的 3.3V 输入范围，每一路增加相同的电阻分压。</w:t>
      </w:r>
    </w:p>
    <w:p>
      <w:pPr>
        <w:keepLines/>
        <w:spacing w:before="40" w:after="120" w:line="240" w:lineRule="auto"/>
        <w:ind w:left="340" w:right="340"/>
        <w:shd w:fill="F5F5F5"/>
      </w:pPr>
      <w:r>
        <w:rPr>
          <w:rFonts w:ascii="DejaVu Sans Mono" w:hAnsi="DejaVu Sans Mono" w:eastAsia="DejaVu Sans Mono"/>
          <w:b w:val="0"/>
          <w:sz w:val="17"/>
        </w:rPr>
        <w:t>MQ AO ── R1=10kΩ ──┬──── STM32 ADC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             │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           R2=18kΩ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             │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            GND</w:t>
      </w:r>
      <w:r>
        <w:br/>
      </w:r>
      <w:r>
        <w:rPr>
          <w:rFonts w:ascii="DejaVu Sans Mono" w:hAnsi="DejaVu Sans Mono" w:eastAsia="DejaVu Sans Mono"/>
          <w:b w:val="0"/>
          <w:sz w:val="17"/>
        </w:rPr>
      </w:r>
      <w:r>
        <w:br/>
      </w:r>
      <w:r>
        <w:rPr>
          <w:rFonts w:ascii="DejaVu Sans Mono" w:hAnsi="DejaVu Sans Mono" w:eastAsia="DejaVu Sans Mono"/>
          <w:b w:val="0"/>
          <w:sz w:val="17"/>
        </w:rPr>
        <w:t>可选：ADC 节点 ── 100nF ── GND</w:t>
      </w:r>
    </w:p>
    <w:p>
      <w:r>
        <w:t>当 AO=5V 时，ADC 节点理论电压约为：5 × 18 / (10+18) ≈ 3.21V，低于 3.3V。三路对应关系如下：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传感器</w:t>
            </w:r>
          </w:p>
        </w:tc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AO 分压后</w:t>
            </w:r>
          </w:p>
        </w:tc>
        <w:tc>
          <w:tcPr>
            <w:tcW w:type="dxa" w:w="368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STM32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MQ-4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10k/18k 分压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PA0 / ADC1_IN0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MQ-7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10k/18k 分压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PA1 / ADC1_IN1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MQ-8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10k/18k 分压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PA4 / ADC1_IN4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软件 ADC 采样时间不要设得过短；使用较长采样时间可提高对分压网络源阻抗的适应性。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DO 数字输出不接 MCU，避免模块板载电位器阈值与软件阈值形成两套逻辑。</w:t>
      </w:r>
    </w:p>
    <w:p>
      <w:pPr>
        <w:pStyle w:val="Heading2"/>
      </w:pPr>
      <w:r>
        <w:t>4.3 OLED：I2C1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OLED</w:t>
            </w:r>
          </w:p>
        </w:tc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STM32</w:t>
            </w:r>
          </w:p>
        </w:tc>
        <w:tc>
          <w:tcPr>
            <w:tcW w:type="dxa" w:w="368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VCC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3.3V（优先）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以模块实际支持电压为准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GND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GND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公共地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SCL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PB6 / I2C1_SCL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I2C1 默认引脚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SDA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PB7 / I2C1_SDA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I2C1 默认引脚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常见 SSD1306 7 位地址为 0x3C，但应以模块实际地址为准。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OLED 建议 200～500 ms 刷新一次，无需在主循环每次迭代都全屏刷新。</w:t>
      </w:r>
    </w:p>
    <w:p>
      <w:pPr>
        <w:pStyle w:val="Heading2"/>
      </w:pPr>
      <w:r>
        <w:t>4.4 AT24C02：I2C2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AT24C02</w:t>
            </w:r>
          </w:p>
        </w:tc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STM32</w:t>
            </w:r>
          </w:p>
        </w:tc>
        <w:tc>
          <w:tcPr>
            <w:tcW w:type="dxa" w:w="368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VCC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3.3V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建议与 STM32 I/O 同电平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GND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GND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公共地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SCL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PB10 / I2C2_SCL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I2C2 默认引脚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SDA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PB11 / I2C2_SDA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I2C2 默认引脚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常见 AT24C02 基础 7 位地址为 0x50，A0/A1/A2 会影响地址，按模块接法确认。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EEPROM 写入存在内部写周期；写完成后使用适当延时或 ACK polling，不要连续无等待写入。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OLED 与 AT24C02 使用两组独立 I2C，可分别初始化 hi2c1、hi2c2，软件结构清楚；若使用中断/DMA，硬件上也可并行工作。</w:t>
      </w:r>
    </w:p>
    <w:p>
      <w:pPr>
        <w:pStyle w:val="Heading2"/>
      </w:pPr>
      <w:r>
        <w:t>4.5 USART1：USB-TTL/PC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STM32</w:t>
            </w:r>
          </w:p>
        </w:tc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USB-TTL</w:t>
            </w:r>
          </w:p>
        </w:tc>
        <w:tc>
          <w:tcPr>
            <w:tcW w:type="dxa" w:w="368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PA9 / USART1_TX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RXD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交叉连接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PA10 / USART1_RX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TXD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交叉连接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GND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GND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必须共地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USB-TTL 优先使用 3.3V TTL 逻辑电平。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建议默认 115200-8-N-1，用于实时数据、调试日志、参数查询和历史记录输出。</w:t>
      </w:r>
    </w:p>
    <w:p>
      <w:pPr>
        <w:pStyle w:val="Heading2"/>
      </w:pPr>
      <w:r>
        <w:t>4.6 USART2：HC-05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STM32</w:t>
            </w:r>
          </w:p>
        </w:tc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HC-05</w:t>
            </w:r>
          </w:p>
        </w:tc>
        <w:tc>
          <w:tcPr>
            <w:tcW w:type="dxa" w:w="368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PA2 / USART2_TX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RXD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STM32 → 蓝牙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PA3 / USART2_RX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TXD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蓝牙 → STM32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GND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GND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必须共地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5V 或 3.3V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VCC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按 HC-05 模块版本供电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常见 HC-05 透传波特率可能为 9600；AT 模式和透传模式参数以实物配置为准。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蓝牙端可直接使用手机“蓝牙串口助手”进行课设演示，无需额外开发完整 APP。</w:t>
      </w:r>
    </w:p>
    <w:p>
      <w:pPr>
        <w:pStyle w:val="Heading2"/>
      </w:pPr>
      <w:r>
        <w:t>4.7 4 个按键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13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KEY</w:t>
            </w:r>
          </w:p>
        </w:tc>
        <w:tc>
          <w:tcPr>
            <w:tcW w:type="dxa" w:w="170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引脚</w:t>
            </w:r>
          </w:p>
        </w:tc>
        <w:tc>
          <w:tcPr>
            <w:tcW w:type="dxa" w:w="368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建议功能</w:t>
            </w:r>
          </w:p>
        </w:tc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接法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KEY1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PB12 / EXTI12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模式切换 / 选择 MQ-4、MQ-7、MQ-8 阈值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GPIO 内部上拉，按键按下接 GND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KEY2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PB13 / EXTI13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阈值 +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GPIO 内部上拉，按键按下接 GND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KEY3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PB14 / EXTI14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阈值 -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GPIO 内部上拉，按键按下接 GND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KEY4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PB15 / EXTI15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安全确认 / 人工恢复阀门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GPIO 内部上拉，按键按下接 GND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PB12～PB15 均属于 EXTI15_10 中断向量，软件在回调中根据 GPIO_Pin 判断具体按键。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按键中断只做置标志/记录事件，消抖和具体业务逻辑放到主循环或定时任务中，避免在 ISR 内执行 OLED/I2C/EEPROM 等耗时操作。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建议软件消抖 20～50 ms。</w:t>
      </w:r>
    </w:p>
    <w:p>
      <w:pPr>
        <w:pStyle w:val="Heading2"/>
      </w:pPr>
      <w:r>
        <w:t>4.8 LED、蜂鸣器、继电器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55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引脚</w:t>
            </w:r>
          </w:p>
        </w:tc>
        <w:tc>
          <w:tcPr>
            <w:tcW w:type="dxa" w:w="396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建议定义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绿 LED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PB8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NORMAL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黄 LED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PB9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WARNING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红 LED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PA6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ALARM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蜂鸣器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PA7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ALARM 时开启，可选预警短鸣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继电器 IN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PA8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模拟燃气阀执行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阀门状态 LED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PA5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显示 Valve OPEN/CLOSED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继电器模块如果输入端不能可靠识别 STM32 的 3.3V 高电平，则增加 NPN 三极管或逻辑级 MOSFET 驱动；若模块已明确兼容 3.3V 输入，可直接接 PA8。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软件应抽象“继电器有效电平”，因为不同继电器模块可能是高电平触发或低电平触发。</w:t>
      </w:r>
    </w:p>
    <w:p>
      <w:pPr>
        <w:pStyle w:val="Heading1"/>
      </w:pPr>
      <w:r>
        <w:t>5. 建议的软件功能与状态机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  <w:cantSplit/>
        </w:trPr>
        <w:tc>
          <w:tcPr>
            <w:tcW w:type="dxa" w:w="153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  <w:tc>
          <w:tcPr>
            <w:tcW w:type="dxa" w:w="85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绿灯</w:t>
            </w:r>
          </w:p>
        </w:tc>
        <w:tc>
          <w:tcPr>
            <w:tcW w:type="dxa" w:w="85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黄灯</w:t>
            </w:r>
          </w:p>
        </w:tc>
        <w:tc>
          <w:tcPr>
            <w:tcW w:type="dxa" w:w="85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红灯</w:t>
            </w:r>
          </w:p>
        </w:tc>
        <w:tc>
          <w:tcPr>
            <w:tcW w:type="dxa" w:w="113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蜂鸣器</w:t>
            </w:r>
          </w:p>
        </w:tc>
        <w:tc>
          <w:tcPr>
            <w:tcW w:type="dxa" w:w="113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阀门</w:t>
            </w:r>
          </w:p>
        </w:tc>
        <w:tc>
          <w:tcPr>
            <w:tcW w:type="dxa" w:w="311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主要动作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NORMAL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ON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OFF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OFF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OFF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OPEN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正常采集/显示/通信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WARNING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OFF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ON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OFF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可短鸣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OPEN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显示预警，持续监测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ALARM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OFF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OFF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ON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CLOSED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关阀、锁存、写 EEPROM、串口/蓝牙上报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SAFE_WAIT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可定义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可定义</w:t>
            </w:r>
          </w:p>
        </w:tc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OFF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OFF</w:t>
            </w:r>
          </w:p>
        </w:tc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CLOSED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浓度已恢复但等待 KEY4 人工确认</w:t>
            </w:r>
          </w:p>
        </w:tc>
      </w:tr>
    </w:tbl>
    <w:p>
      <w:pPr>
        <w:spacing w:after="0"/>
      </w:pPr>
    </w:p>
    <w:p>
      <w:pPr>
        <w:keepLines/>
        <w:spacing w:before="40" w:after="120" w:line="240" w:lineRule="auto"/>
        <w:ind w:left="340" w:right="340"/>
        <w:shd w:fill="F5F5F5"/>
      </w:pPr>
      <w:r>
        <w:rPr>
          <w:rFonts w:ascii="DejaVu Sans Mono" w:hAnsi="DejaVu Sans Mono" w:eastAsia="DejaVu Sans Mono"/>
          <w:b w:val="0"/>
          <w:sz w:val="17"/>
        </w:rPr>
        <w:t>任意一路达到危险条件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↓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进入 ALARM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↓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红灯 + 蜂鸣器 + 继电器关阀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↓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写入 AT24C02 报警记录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↓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即使浓度恢复正常，也不自动开阀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↓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进入 SAFE_WAIT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↓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三路均安全 + 用户按 KEY4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↓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恢复 NORMAL / 允许开阀</w:t>
      </w:r>
    </w:p>
    <w:p>
      <w:r>
        <w:t>阈值设置建议：KEY1 循环选择 MQ-4 → MQ-7 → MQ-8 → 返回实时界面；KEY2/KEY3 修改当前选中气体阈值，修改后延时保存到 EEPROM，避免每按一次按键就立即写 EEPROM。</w:t>
      </w:r>
    </w:p>
    <w:p>
      <w:pPr>
        <w:pStyle w:val="Heading1"/>
      </w:pPr>
      <w:r>
        <w:t>6. AT24C02 数据存储建议</w:t>
      </w:r>
    </w:p>
    <w:p>
      <w:r>
        <w:t>AT24C02 容量为 2 Kbit（256 字节）。课设数据量很小，可将“系统配置”和“报警记录”分区。下面是一种简单、易实现的布局。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1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地址范围</w:t>
            </w:r>
          </w:p>
        </w:tc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  <w:tc>
          <w:tcPr>
            <w:tcW w:type="dxa" w:w="464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0x00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Magic 标志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例如 0xA5，用于判断 EEPROM 是否初始化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0x01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配置版本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后续修改结构时便于兼容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0x02–0x03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MQ-4 阈值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uint16_t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0x04–0x05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MQ-7 阈值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uint16_t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0x06–0x07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MQ-8 阈值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uint16_t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0x08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事件计数/写指针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用于循环记录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0x10 以后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报警记录区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每条记录固定长度，循环覆盖最旧记录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没有 RTC 时，历史记录可保存“事件序号、气体类型、触发值、阈值、状态”等，不必伪造真实年月日时间。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若后续确实需要真实时间，再扩展 DS3231 等 RTC；当前版本不需要增加。</w:t>
      </w:r>
    </w:p>
    <w:p>
      <w:pPr>
        <w:pStyle w:val="Heading1"/>
      </w:pPr>
      <w:r>
        <w:t>7. STM32CubeMX 配置清单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368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配置</w:t>
            </w:r>
          </w:p>
        </w:tc>
        <w:tc>
          <w:tcPr>
            <w:tcW w:type="dxa" w:w="368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SYS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Debug = Serial Wire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保留 PA13/PA14 SWD 下载调试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ADC1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IN0、IN1、IN4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MQ-4/MQ-7/MQ-8；建议 Scan + DMA 或定时轮询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I2C1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PB6=SCL，PB7=SDA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OLED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I2C2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PB10=SCL，PB11=SDA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AT24C02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USART1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PA9 TX / PA10 RX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PC 调试，建议 115200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USART2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PA2 TX / PA3 RX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HC-05，按模块实际波特率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GPIO Output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PB8、PB9、PA6、PA7、PA8、PA5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LED、蜂鸣器、继电器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EXTI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PB12～PB15 Falling Edge + Pull-up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4 个按键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NVIC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EXTI15_10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开启按键中断</w:t>
            </w:r>
          </w:p>
        </w:tc>
      </w:tr>
    </w:tbl>
    <w:p>
      <w:pPr>
        <w:spacing w:after="0"/>
      </w:pPr>
    </w:p>
    <w:p>
      <w:pPr>
        <w:pStyle w:val="Heading1"/>
      </w:pPr>
      <w:r>
        <w:t>8. Proteus 仿真建议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如果 Proteus 中找不到具体 MQ-4/MQ-7/MQ-8 模块模型，可使用 POT（电位器）或可变直流源分别模拟三路 AO 电压，重点验证 ADC、阈值和状态机逻辑。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OLED 若模型/库不稳定，可以先用 Virtual Terminal/LCD 验证软件逻辑，再切换 SSD1306 模型。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AT24C02 通常可直接使用 24C02/24LC02 等兼容模型，地址脚 A0/A1/A2 与原理图保持一致。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继电器模块在 Proteus 中可用 RELAY-SPDT + NPN 驱动 + 续流二极管模拟；也可用 LED 表示阀门执行状态。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HC-05 在 Proteus 中可以先用 Virtual Terminal 代替 USART2 对端，验证蓝牙通信协议后再接实物。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仿真优先验证功能链：采集 → 阈值判断 → OLED/串口显示 → 报警 → 关阀 → EEPROM 记录 → KEY4 安全恢复。</w:t>
      </w:r>
    </w:p>
    <w:p>
      <w:pPr>
        <w:pStyle w:val="Heading1"/>
      </w:pPr>
      <w:r>
        <w:t>9. 原理图、PCB 与焊接注意事项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模块化优先：STM32 最小系统板、MQ、OLED、EEPROM、HC-05、继电器均可用排针/排母连接，课设 PCB 不必把所有模块内部电路重新画一遍。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电源线比信号线更宽；三只 MQ 和继电器的 5V/GND 走线要有足够余量，不要从 STM32 的细信号电源路径串过去。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三路 ADC 走线尽量短，远离继电器、电源开关、蜂鸣器等噪声源；100nF 滤波电容靠近 MCU ADC 输入或接口放置。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I2C SCL/SDA 尽量成对、短距离布线；确认模块是否自带上拉，避免多个模块并联过多上拉导致等效阻值过低。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继电器模块和低压模拟信号尽量分区。若以后接真实电磁阀或更高电压负载，应单独考虑电气隔离、触点容量、反向感应电压和安全规范；当前课设只做低压模拟。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sz w:val="21"/>
        </w:rPr>
        <w:t>接口丝印建议写清：MQ4_AO、MQ7_AO、MQ8_AO、OLED_SCL/SDA、EEPROM_SCL/SDA、BT_TX/RX、PC_TX/RX、KEY1~4、RELAY、VALVE_LED。</w:t>
      </w:r>
    </w:p>
    <w:p>
      <w:pPr>
        <w:pStyle w:val="Heading1"/>
      </w:pPr>
      <w:r>
        <w:t>10. 实物上电与联调顺序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只焊/连接电源部分，测 12V、5V、3.3V 是否正确，确认无短路。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连接 STM32 最小系统板，使用 ST-Link 下载最小 LED/串口程序，确认 MCU 正常。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测试 USART1 + USB-TTL，确保 PC 串口打印稳定。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逐个接入 MQ-4、MQ-7、MQ-8，测分压前/后的实际电压，再开启 ADC 采集。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接 OLED（I2C1），先做 I2C 地址扫描，再显示固定文字和 ADC 数据。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接 AT24C02（I2C2），测试单字节/多字节读写和掉电保存。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接 4 个 KEY，验证 EXTI 和软件消抖。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接三色 LED、蜂鸣器，验证 NORMAL/WARNING/ALARM。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接继电器和阀门状态 LED，确认模块有效电平，验证报警锁存与 KEY4 安全恢复。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最后接 HC-05，完成 USART2 透传和手机显示。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整机连续运行，验证掉电重启、阈值恢复、报警记录、反复按键和继电器动作。</w:t>
      </w:r>
    </w:p>
    <w:p>
      <w:pPr>
        <w:pStyle w:val="Heading1"/>
      </w:pPr>
      <w:r>
        <w:t>11. 最终验收功能清单</w:t>
      </w:r>
    </w:p>
    <w:p>
      <w:pPr>
        <w:ind w:left="227"/>
      </w:pPr>
      <w:r>
        <w:rPr>
          <w:rFonts w:ascii="Noto Sans CJK SC" w:hAnsi="Noto Sans CJK SC" w:eastAsia="Noto Sans CJK SC"/>
          <w:b w:val="0"/>
          <w:sz w:val="21"/>
        </w:rPr>
        <w:t>☐  三路 MQ 模拟量均可读取并在 OLED/串口显示。</w:t>
      </w:r>
    </w:p>
    <w:p>
      <w:pPr>
        <w:ind w:left="227"/>
      </w:pPr>
      <w:r>
        <w:rPr>
          <w:rFonts w:ascii="Noto Sans CJK SC" w:hAnsi="Noto Sans CJK SC" w:eastAsia="Noto Sans CJK SC"/>
          <w:b w:val="0"/>
          <w:sz w:val="21"/>
        </w:rPr>
        <w:t>☐  MQ-4、MQ-7、MQ-8 可分别设置阈值。</w:t>
      </w:r>
    </w:p>
    <w:p>
      <w:pPr>
        <w:ind w:left="227"/>
      </w:pPr>
      <w:r>
        <w:rPr>
          <w:rFonts w:ascii="Noto Sans CJK SC" w:hAnsi="Noto Sans CJK SC" w:eastAsia="Noto Sans CJK SC"/>
          <w:b w:val="0"/>
          <w:sz w:val="21"/>
        </w:rPr>
        <w:t>☐  KEY1/KEY2/KEY3 可完成模式切换和阈值加减。</w:t>
      </w:r>
    </w:p>
    <w:p>
      <w:pPr>
        <w:ind w:left="227"/>
      </w:pPr>
      <w:r>
        <w:rPr>
          <w:rFonts w:ascii="Noto Sans CJK SC" w:hAnsi="Noto Sans CJK SC" w:eastAsia="Noto Sans CJK SC"/>
          <w:b w:val="0"/>
          <w:sz w:val="21"/>
        </w:rPr>
        <w:t>☐  任一路达到危险条件后红灯、蜂鸣器、继电器动作正确。</w:t>
      </w:r>
    </w:p>
    <w:p>
      <w:pPr>
        <w:ind w:left="227"/>
      </w:pPr>
      <w:r>
        <w:rPr>
          <w:rFonts w:ascii="Noto Sans CJK SC" w:hAnsi="Noto Sans CJK SC" w:eastAsia="Noto Sans CJK SC"/>
          <w:b w:val="0"/>
          <w:sz w:val="21"/>
        </w:rPr>
        <w:t>☐  报警解除后阀门不会自动恢复；三路安全后按 KEY4 才恢复。</w:t>
      </w:r>
    </w:p>
    <w:p>
      <w:pPr>
        <w:ind w:left="227"/>
      </w:pPr>
      <w:r>
        <w:rPr>
          <w:rFonts w:ascii="Noto Sans CJK SC" w:hAnsi="Noto Sans CJK SC" w:eastAsia="Noto Sans CJK SC"/>
          <w:b w:val="0"/>
          <w:sz w:val="21"/>
        </w:rPr>
        <w:t>☐  修改阈值后掉电重启仍能从 AT24C02 恢复。</w:t>
      </w:r>
    </w:p>
    <w:p>
      <w:pPr>
        <w:ind w:left="227"/>
      </w:pPr>
      <w:r>
        <w:rPr>
          <w:rFonts w:ascii="Noto Sans CJK SC" w:hAnsi="Noto Sans CJK SC" w:eastAsia="Noto Sans CJK SC"/>
          <w:b w:val="0"/>
          <w:sz w:val="21"/>
        </w:rPr>
        <w:t>☐  报警事件可以写入 AT24C02，并通过 OLED 或 PC 串口查询。</w:t>
      </w:r>
    </w:p>
    <w:p>
      <w:pPr>
        <w:ind w:left="227"/>
      </w:pPr>
      <w:r>
        <w:rPr>
          <w:rFonts w:ascii="Noto Sans CJK SC" w:hAnsi="Noto Sans CJK SC" w:eastAsia="Noto Sans CJK SC"/>
          <w:b w:val="0"/>
          <w:sz w:val="21"/>
        </w:rPr>
        <w:t>☐  USART1 与 PC 同时工作正常，USART2 与 HC-05 同时工作正常。</w:t>
      </w:r>
    </w:p>
    <w:p>
      <w:pPr>
        <w:ind w:left="227"/>
      </w:pPr>
      <w:r>
        <w:rPr>
          <w:rFonts w:ascii="Noto Sans CJK SC" w:hAnsi="Noto Sans CJK SC" w:eastAsia="Noto Sans CJK SC"/>
          <w:b w:val="0"/>
          <w:sz w:val="21"/>
        </w:rPr>
        <w:t>☐  OLED 使用 I2C1，EEPROM 使用 I2C2，互不占用同一外设。</w:t>
      </w:r>
    </w:p>
    <w:p>
      <w:pPr>
        <w:ind w:left="227"/>
      </w:pPr>
      <w:r>
        <w:rPr>
          <w:rFonts w:ascii="Noto Sans CJK SC" w:hAnsi="Noto Sans CJK SC" w:eastAsia="Noto Sans CJK SC"/>
          <w:b w:val="0"/>
          <w:sz w:val="21"/>
        </w:rPr>
        <w:t>☐  连续运行无异常复位、I2C 卡死、串口乱码或继电器误动作。</w:t>
      </w:r>
    </w:p>
    <w:p>
      <w:pPr>
        <w:pStyle w:val="Heading1"/>
      </w:pPr>
      <w:r>
        <w:t>附录 A：最终接线速查表</w:t>
      </w:r>
    </w:p>
    <w:p>
      <w:pPr>
        <w:keepLines/>
        <w:spacing w:before="40" w:after="120" w:line="240" w:lineRule="auto"/>
        <w:ind w:left="340" w:right="340"/>
        <w:shd w:fill="F5F5F5"/>
      </w:pPr>
      <w:r>
        <w:rPr>
          <w:rFonts w:ascii="DejaVu Sans Mono" w:hAnsi="DejaVu Sans Mono" w:eastAsia="DejaVu Sans Mono"/>
          <w:b w:val="0"/>
          <w:sz w:val="17"/>
        </w:rPr>
        <w:t>PA0  ← MQ-4 AO（经分压）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PA1  ← MQ-7 AO（经分压）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PA4  ← MQ-8 AO（经分压）</w:t>
      </w:r>
      <w:r>
        <w:br/>
      </w:r>
      <w:r>
        <w:rPr>
          <w:rFonts w:ascii="DejaVu Sans Mono" w:hAnsi="DejaVu Sans Mono" w:eastAsia="DejaVu Sans Mono"/>
          <w:b w:val="0"/>
          <w:sz w:val="17"/>
        </w:rPr>
      </w:r>
      <w:r>
        <w:br/>
      </w:r>
      <w:r>
        <w:rPr>
          <w:rFonts w:ascii="DejaVu Sans Mono" w:hAnsi="DejaVu Sans Mono" w:eastAsia="DejaVu Sans Mono"/>
          <w:b w:val="0"/>
          <w:sz w:val="17"/>
        </w:rPr>
        <w:t>PA2  → HC-05 RXD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PA3  ← HC-05 TXD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PA9  → USB-TTL RXD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PA10 ← USB-TTL TXD</w:t>
      </w:r>
      <w:r>
        <w:br/>
      </w:r>
      <w:r>
        <w:rPr>
          <w:rFonts w:ascii="DejaVu Sans Mono" w:hAnsi="DejaVu Sans Mono" w:eastAsia="DejaVu Sans Mono"/>
          <w:b w:val="0"/>
          <w:sz w:val="17"/>
        </w:rPr>
      </w:r>
      <w:r>
        <w:br/>
      </w:r>
      <w:r>
        <w:rPr>
          <w:rFonts w:ascii="DejaVu Sans Mono" w:hAnsi="DejaVu Sans Mono" w:eastAsia="DejaVu Sans Mono"/>
          <w:b w:val="0"/>
          <w:sz w:val="17"/>
        </w:rPr>
        <w:t>PB6  → OLED SCL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PB7  ↔ OLED SDA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PB10 → AT24C02 SCL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PB11 ↔ AT24C02 SDA</w:t>
      </w:r>
      <w:r>
        <w:br/>
      </w:r>
      <w:r>
        <w:rPr>
          <w:rFonts w:ascii="DejaVu Sans Mono" w:hAnsi="DejaVu Sans Mono" w:eastAsia="DejaVu Sans Mono"/>
          <w:b w:val="0"/>
          <w:sz w:val="17"/>
        </w:rPr>
      </w:r>
      <w:r>
        <w:br/>
      </w:r>
      <w:r>
        <w:rPr>
          <w:rFonts w:ascii="DejaVu Sans Mono" w:hAnsi="DejaVu Sans Mono" w:eastAsia="DejaVu Sans Mono"/>
          <w:b w:val="0"/>
          <w:sz w:val="17"/>
        </w:rPr>
        <w:t>PB8  → 绿 LED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PB9  → 黄 LED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PA6  → 红 LED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PA7  → 蜂鸣器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PA8  → 继电器 IN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PA5  → 阀门状态 LED</w:t>
      </w:r>
      <w:r>
        <w:br/>
      </w:r>
      <w:r>
        <w:rPr>
          <w:rFonts w:ascii="DejaVu Sans Mono" w:hAnsi="DejaVu Sans Mono" w:eastAsia="DejaVu Sans Mono"/>
          <w:b w:val="0"/>
          <w:sz w:val="17"/>
        </w:rPr>
      </w:r>
      <w:r>
        <w:br/>
      </w:r>
      <w:r>
        <w:rPr>
          <w:rFonts w:ascii="DejaVu Sans Mono" w:hAnsi="DejaVu Sans Mono" w:eastAsia="DejaVu Sans Mono"/>
          <w:b w:val="0"/>
          <w:sz w:val="17"/>
        </w:rPr>
        <w:t>PB12 ← KEY1 模式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PB13 ← KEY2 +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PB14 ← KEY3 -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PB15 ← KEY4 安全确认</w:t>
      </w:r>
      <w:r>
        <w:br/>
      </w:r>
      <w:r>
        <w:rPr>
          <w:rFonts w:ascii="DejaVu Sans Mono" w:hAnsi="DejaVu Sans Mono" w:eastAsia="DejaVu Sans Mono"/>
          <w:b w:val="0"/>
          <w:sz w:val="17"/>
        </w:rPr>
      </w:r>
      <w:r>
        <w:br/>
      </w:r>
      <w:r>
        <w:rPr>
          <w:rFonts w:ascii="DejaVu Sans Mono" w:hAnsi="DejaVu Sans Mono" w:eastAsia="DejaVu Sans Mono"/>
          <w:b w:val="0"/>
          <w:sz w:val="17"/>
        </w:rPr>
        <w:t>PA13 ↔ SWDIO（保留）</w:t>
      </w:r>
      <w:r>
        <w:br/>
      </w:r>
      <w:r>
        <w:rPr>
          <w:rFonts w:ascii="DejaVu Sans Mono" w:hAnsi="DejaVu Sans Mono" w:eastAsia="DejaVu Sans Mono"/>
          <w:b w:val="0"/>
          <w:sz w:val="17"/>
        </w:rPr>
        <w:t>PA14 ← SWCLK（保留）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最终建议：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当前 GPIO、ADC、I2C、USART 资源均足够。后续原理图和 PCB 直接按本表实施；若实物模块出现 5V/3.3V 电平兼容问题，优先调整外围接口电路，不随意重新分配 MCU 引脚。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57575"/>
        <w:sz w:val="16"/>
      </w:rPr>
      <w:t xml:space="preserve">智能燃气监测与自动防护系统 · 硬件设计与接线说明  |  </w:t>
    </w:r>
    <w:r>
      <w:rPr>
        <w:rFonts w:ascii="Noto Sans CJK SC" w:hAnsi="Noto Sans CJK SC" w:eastAsia="Noto Sans CJK SC"/>
        <w:b w:val="0"/>
        <w:color w:val="75757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