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1226F" w14:textId="77777777" w:rsidR="00364C9B" w:rsidRDefault="00000000">
      <w:pPr>
        <w:jc w:val="center"/>
      </w:pPr>
      <w:r>
        <w:rPr>
          <w:rFonts w:ascii="Aptos Display" w:hAnsi="Aptos Display"/>
          <w:b/>
          <w:sz w:val="40"/>
        </w:rPr>
        <w:t>Northfield Foods - Key Business Insights</w:t>
      </w:r>
    </w:p>
    <w:p w14:paraId="27F2B6D8" w14:textId="06673F32" w:rsidR="00364C9B" w:rsidRDefault="00000000">
      <w:pPr>
        <w:jc w:val="center"/>
      </w:pPr>
      <w:r>
        <w:rPr>
          <w:i/>
          <w:sz w:val="20"/>
        </w:rPr>
        <w:t xml:space="preserve"> Operations Analytics and Production Planning</w:t>
      </w:r>
    </w:p>
    <w:p w14:paraId="255D50FD" w14:textId="77777777" w:rsidR="00364C9B" w:rsidRDefault="00000000">
      <w:r>
        <w:t>This document translates the project's main operational KPIs into business meaning and practical management responses.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2"/>
        <w:gridCol w:w="4309"/>
        <w:gridCol w:w="4195"/>
        <w:gridCol w:w="3812"/>
      </w:tblGrid>
      <w:tr w:rsidR="00364C9B" w14:paraId="247F31A8" w14:textId="77777777">
        <w:trPr>
          <w:tblHeader/>
          <w:jc w:val="center"/>
        </w:trPr>
        <w:tc>
          <w:tcPr>
            <w:tcW w:w="3812" w:type="dxa"/>
            <w:shd w:val="clear" w:color="auto" w:fill="D9E2F3"/>
            <w:vAlign w:val="center"/>
          </w:tcPr>
          <w:p w14:paraId="07F8CF8F" w14:textId="77777777" w:rsidR="00364C9B" w:rsidRDefault="00000000">
            <w:pPr>
              <w:jc w:val="center"/>
            </w:pPr>
            <w:r>
              <w:rPr>
                <w:b/>
                <w:sz w:val="18"/>
              </w:rPr>
              <w:t>Insight</w:t>
            </w:r>
          </w:p>
        </w:tc>
        <w:tc>
          <w:tcPr>
            <w:tcW w:w="3812" w:type="dxa"/>
            <w:shd w:val="clear" w:color="auto" w:fill="D9E2F3"/>
            <w:vAlign w:val="center"/>
          </w:tcPr>
          <w:p w14:paraId="6F3F45A9" w14:textId="77777777" w:rsidR="00364C9B" w:rsidRDefault="00000000">
            <w:pPr>
              <w:jc w:val="center"/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w="3812" w:type="dxa"/>
            <w:shd w:val="clear" w:color="auto" w:fill="D9E2F3"/>
            <w:vAlign w:val="center"/>
          </w:tcPr>
          <w:p w14:paraId="696064BF" w14:textId="77777777" w:rsidR="00364C9B" w:rsidRDefault="00000000">
            <w:pPr>
              <w:jc w:val="center"/>
            </w:pPr>
            <w:r>
              <w:rPr>
                <w:b/>
                <w:sz w:val="18"/>
              </w:rPr>
              <w:t>Business Meaning</w:t>
            </w:r>
          </w:p>
        </w:tc>
        <w:tc>
          <w:tcPr>
            <w:tcW w:w="3812" w:type="dxa"/>
            <w:shd w:val="clear" w:color="auto" w:fill="D9E2F3"/>
            <w:vAlign w:val="center"/>
          </w:tcPr>
          <w:p w14:paraId="3205D312" w14:textId="77777777" w:rsidR="00364C9B" w:rsidRDefault="00000000">
            <w:pPr>
              <w:jc w:val="center"/>
            </w:pPr>
            <w:r>
              <w:rPr>
                <w:b/>
                <w:sz w:val="18"/>
              </w:rPr>
              <w:t>Recommended Response</w:t>
            </w:r>
          </w:p>
        </w:tc>
      </w:tr>
      <w:tr w:rsidR="00364C9B" w14:paraId="1C97BEF6" w14:textId="77777777">
        <w:trPr>
          <w:jc w:val="center"/>
        </w:trPr>
        <w:tc>
          <w:tcPr>
            <w:tcW w:w="3005" w:type="dxa"/>
          </w:tcPr>
          <w:p w14:paraId="3EA0C4E3" w14:textId="77777777" w:rsidR="00364C9B" w:rsidRDefault="00000000">
            <w:pPr>
              <w:spacing w:after="40"/>
            </w:pPr>
            <w:r>
              <w:rPr>
                <w:b/>
                <w:sz w:val="17"/>
              </w:rPr>
              <w:t>1. Overall forecasting was strong</w:t>
            </w:r>
          </w:p>
        </w:tc>
        <w:tc>
          <w:tcPr>
            <w:tcW w:w="4309" w:type="dxa"/>
          </w:tcPr>
          <w:p w14:paraId="38ADFD8D" w14:textId="77777777" w:rsidR="00364C9B" w:rsidRDefault="00000000">
            <w:pPr>
              <w:spacing w:after="40"/>
            </w:pPr>
            <w:r>
              <w:rPr>
                <w:sz w:val="17"/>
              </w:rPr>
              <w:t>Forecast Accuracy 96.6%, WAPE 3.4%, Forecast Bias approximately -0.04%.</w:t>
            </w:r>
          </w:p>
        </w:tc>
        <w:tc>
          <w:tcPr>
            <w:tcW w:w="4195" w:type="dxa"/>
          </w:tcPr>
          <w:p w14:paraId="05E4CFD6" w14:textId="77777777" w:rsidR="00364C9B" w:rsidRDefault="00000000">
            <w:pPr>
              <w:spacing w:after="40"/>
            </w:pPr>
            <w:r>
              <w:rPr>
                <w:sz w:val="17"/>
              </w:rPr>
              <w:t>Annual demand forecasting was broadly aligned with actual customer orders, with almost no systematic over- or under-forecasting.</w:t>
            </w:r>
          </w:p>
        </w:tc>
        <w:tc>
          <w:tcPr>
            <w:tcW w:w="3742" w:type="dxa"/>
          </w:tcPr>
          <w:p w14:paraId="3605EE67" w14:textId="77777777" w:rsidR="00364C9B" w:rsidRDefault="00000000">
            <w:pPr>
              <w:spacing w:after="40"/>
            </w:pPr>
            <w:r>
              <w:rPr>
                <w:sz w:val="17"/>
              </w:rPr>
              <w:t>Maintain the forecasting approach while continuing to monitor product-level exceptions.</w:t>
            </w:r>
          </w:p>
        </w:tc>
      </w:tr>
      <w:tr w:rsidR="00364C9B" w14:paraId="658F717A" w14:textId="77777777">
        <w:trPr>
          <w:jc w:val="center"/>
        </w:trPr>
        <w:tc>
          <w:tcPr>
            <w:tcW w:w="3005" w:type="dxa"/>
          </w:tcPr>
          <w:p w14:paraId="0485992B" w14:textId="77777777" w:rsidR="00364C9B" w:rsidRDefault="00000000">
            <w:pPr>
              <w:spacing w:after="40"/>
            </w:pPr>
            <w:r>
              <w:rPr>
                <w:b/>
                <w:sz w:val="17"/>
              </w:rPr>
              <w:t>2. Product-level forecast performance still varied</w:t>
            </w:r>
          </w:p>
        </w:tc>
        <w:tc>
          <w:tcPr>
            <w:tcW w:w="4309" w:type="dxa"/>
          </w:tcPr>
          <w:p w14:paraId="1451CA22" w14:textId="77777777" w:rsidR="00364C9B" w:rsidRDefault="00000000">
            <w:pPr>
              <w:spacing w:after="40"/>
            </w:pPr>
            <w:r>
              <w:rPr>
                <w:sz w:val="17"/>
              </w:rPr>
              <w:t>Veggie Breakfast Patties recorded approximately 3.9% WAPE, compared with around 3.0% for the strongest-performing product.</w:t>
            </w:r>
          </w:p>
        </w:tc>
        <w:tc>
          <w:tcPr>
            <w:tcW w:w="4195" w:type="dxa"/>
          </w:tcPr>
          <w:p w14:paraId="20C44715" w14:textId="77777777" w:rsidR="00364C9B" w:rsidRDefault="00000000">
            <w:pPr>
              <w:spacing w:after="40"/>
            </w:pPr>
            <w:r>
              <w:rPr>
                <w:sz w:val="17"/>
              </w:rPr>
              <w:t>A strong company-wide forecast KPI can hide differences between individual SKUs.</w:t>
            </w:r>
          </w:p>
        </w:tc>
        <w:tc>
          <w:tcPr>
            <w:tcW w:w="3742" w:type="dxa"/>
          </w:tcPr>
          <w:p w14:paraId="24E7A41B" w14:textId="77777777" w:rsidR="00364C9B" w:rsidRDefault="00000000">
            <w:pPr>
              <w:spacing w:after="40"/>
            </w:pPr>
            <w:r>
              <w:rPr>
                <w:sz w:val="17"/>
              </w:rPr>
              <w:t>Review SKU-level demand patterns and forecast assumptions for the higher-error products.</w:t>
            </w:r>
          </w:p>
        </w:tc>
      </w:tr>
      <w:tr w:rsidR="00364C9B" w14:paraId="41CEFEE2" w14:textId="77777777">
        <w:trPr>
          <w:jc w:val="center"/>
        </w:trPr>
        <w:tc>
          <w:tcPr>
            <w:tcW w:w="3005" w:type="dxa"/>
          </w:tcPr>
          <w:p w14:paraId="4B015513" w14:textId="77777777" w:rsidR="00364C9B" w:rsidRDefault="00000000">
            <w:pPr>
              <w:spacing w:after="40"/>
            </w:pPr>
            <w:r>
              <w:rPr>
                <w:b/>
                <w:sz w:val="17"/>
              </w:rPr>
              <w:t>3. Overall production performance was strong, but P005 experienced a serious disruption</w:t>
            </w:r>
          </w:p>
        </w:tc>
        <w:tc>
          <w:tcPr>
            <w:tcW w:w="4309" w:type="dxa"/>
          </w:tcPr>
          <w:p w14:paraId="0D298822" w14:textId="77777777" w:rsidR="00364C9B" w:rsidRDefault="00000000">
            <w:pPr>
              <w:spacing w:after="40"/>
            </w:pPr>
            <w:r>
              <w:rPr>
                <w:sz w:val="17"/>
              </w:rPr>
              <w:t>Overall Production Attainment was approximately 99.3%. Family Breakfast Pack (P005) had the weakest annual attainment at roughly 98.9%. On 07 December, weekly attainment fell to 70%, producing a 221-pack finished-goods shortage and 0 days closing stock cover.</w:t>
            </w:r>
          </w:p>
        </w:tc>
        <w:tc>
          <w:tcPr>
            <w:tcW w:w="4195" w:type="dxa"/>
          </w:tcPr>
          <w:p w14:paraId="0D5825BF" w14:textId="77777777" w:rsidR="00364C9B" w:rsidRDefault="00000000">
            <w:pPr>
              <w:spacing w:after="40"/>
            </w:pPr>
            <w:r>
              <w:rPr>
                <w:sz w:val="17"/>
              </w:rPr>
              <w:t>A strong annual production KPI can hide individual weeks with significant customer-service risk.</w:t>
            </w:r>
          </w:p>
        </w:tc>
        <w:tc>
          <w:tcPr>
            <w:tcW w:w="3742" w:type="dxa"/>
          </w:tcPr>
          <w:p w14:paraId="09ACB601" w14:textId="77777777" w:rsidR="00364C9B" w:rsidRDefault="00000000">
            <w:pPr>
              <w:spacing w:after="40"/>
            </w:pPr>
            <w:r>
              <w:rPr>
                <w:sz w:val="17"/>
              </w:rPr>
              <w:t>Investigate production losses quickly and develop recovery and prioritisation plans for affected demand.</w:t>
            </w:r>
          </w:p>
        </w:tc>
      </w:tr>
      <w:tr w:rsidR="00364C9B" w14:paraId="68A7DC40" w14:textId="77777777">
        <w:trPr>
          <w:jc w:val="center"/>
        </w:trPr>
        <w:tc>
          <w:tcPr>
            <w:tcW w:w="3005" w:type="dxa"/>
          </w:tcPr>
          <w:p w14:paraId="3D14F89F" w14:textId="77777777" w:rsidR="00364C9B" w:rsidRDefault="00000000">
            <w:pPr>
              <w:spacing w:after="40"/>
            </w:pPr>
            <w:r>
              <w:rPr>
                <w:b/>
                <w:sz w:val="17"/>
              </w:rPr>
              <w:t>4. Annual capacity was comfortable, but L02 had a severe local bottleneck</w:t>
            </w:r>
          </w:p>
        </w:tc>
        <w:tc>
          <w:tcPr>
            <w:tcW w:w="4309" w:type="dxa"/>
          </w:tcPr>
          <w:p w14:paraId="6892C167" w14:textId="77777777" w:rsidR="00364C9B" w:rsidRDefault="00000000">
            <w:pPr>
              <w:spacing w:after="40"/>
            </w:pPr>
            <w:r>
              <w:rPr>
                <w:sz w:val="17"/>
              </w:rPr>
              <w:t>Weighted annual capacity utilisation was approximately 38.9%. On 02 November, L02 reached 161.9% utilisation with a 9,750-pack capacity gap, exposing both Herb Chicken Bites and Smoky Beef Bites.</w:t>
            </w:r>
          </w:p>
        </w:tc>
        <w:tc>
          <w:tcPr>
            <w:tcW w:w="4195" w:type="dxa"/>
          </w:tcPr>
          <w:p w14:paraId="61127DDC" w14:textId="77777777" w:rsidR="00364C9B" w:rsidRDefault="00000000">
            <w:pPr>
              <w:spacing w:after="40"/>
            </w:pPr>
            <w:r>
              <w:rPr>
                <w:sz w:val="17"/>
              </w:rPr>
              <w:t>Average utilisation alone is insufficient for capacity planning. A factory can have spare capacity overall while a shared production line becomes overloaded in a specific week.</w:t>
            </w:r>
          </w:p>
        </w:tc>
        <w:tc>
          <w:tcPr>
            <w:tcW w:w="3742" w:type="dxa"/>
          </w:tcPr>
          <w:p w14:paraId="1D733AEA" w14:textId="77777777" w:rsidR="00364C9B" w:rsidRDefault="00000000">
            <w:pPr>
              <w:spacing w:after="40"/>
            </w:pPr>
            <w:r>
              <w:rPr>
                <w:sz w:val="17"/>
              </w:rPr>
              <w:t>Review line loading, production timing, prioritisation and recovery capacity on shared lines.</w:t>
            </w:r>
          </w:p>
        </w:tc>
      </w:tr>
      <w:tr w:rsidR="00364C9B" w14:paraId="0D4AB59A" w14:textId="77777777">
        <w:trPr>
          <w:jc w:val="center"/>
        </w:trPr>
        <w:tc>
          <w:tcPr>
            <w:tcW w:w="3005" w:type="dxa"/>
          </w:tcPr>
          <w:p w14:paraId="0AB97AC4" w14:textId="77777777" w:rsidR="00364C9B" w:rsidRDefault="00000000">
            <w:pPr>
              <w:spacing w:after="40"/>
            </w:pPr>
            <w:r>
              <w:rPr>
                <w:b/>
                <w:sz w:val="17"/>
              </w:rPr>
              <w:t>5. Material supply was reliable overall, but one disruption created production risk</w:t>
            </w:r>
          </w:p>
        </w:tc>
        <w:tc>
          <w:tcPr>
            <w:tcW w:w="4309" w:type="dxa"/>
          </w:tcPr>
          <w:p w14:paraId="08A759D1" w14:textId="77777777" w:rsidR="00364C9B" w:rsidRDefault="00000000">
            <w:pPr>
              <w:spacing w:after="40"/>
            </w:pPr>
            <w:r>
              <w:rPr>
                <w:sz w:val="17"/>
              </w:rPr>
              <w:t>Annual Material Receipt Attainment was approximately 99.9%, but Chicken Meat (M002) experienced a 398 kg shortage in September.</w:t>
            </w:r>
          </w:p>
        </w:tc>
        <w:tc>
          <w:tcPr>
            <w:tcW w:w="4195" w:type="dxa"/>
          </w:tcPr>
          <w:p w14:paraId="172D6BA3" w14:textId="77777777" w:rsidR="00364C9B" w:rsidRDefault="00000000">
            <w:pPr>
              <w:spacing w:after="40"/>
            </w:pPr>
            <w:r>
              <w:rPr>
                <w:sz w:val="17"/>
              </w:rPr>
              <w:t>High annual material performance does not eliminate short-term availability risk.</w:t>
            </w:r>
          </w:p>
        </w:tc>
        <w:tc>
          <w:tcPr>
            <w:tcW w:w="3742" w:type="dxa"/>
          </w:tcPr>
          <w:p w14:paraId="44871558" w14:textId="77777777" w:rsidR="00364C9B" w:rsidRDefault="00000000">
            <w:pPr>
              <w:spacing w:after="40"/>
            </w:pPr>
            <w:r>
              <w:rPr>
                <w:sz w:val="17"/>
              </w:rPr>
              <w:t>Use weekly exception monitoring to identify shortages early and support materials and production replanning.</w:t>
            </w:r>
          </w:p>
        </w:tc>
      </w:tr>
      <w:tr w:rsidR="00364C9B" w14:paraId="6223BD2B" w14:textId="77777777">
        <w:trPr>
          <w:jc w:val="center"/>
        </w:trPr>
        <w:tc>
          <w:tcPr>
            <w:tcW w:w="3005" w:type="dxa"/>
          </w:tcPr>
          <w:p w14:paraId="06258641" w14:textId="77777777" w:rsidR="00364C9B" w:rsidRDefault="00000000">
            <w:pPr>
              <w:spacing w:after="40"/>
            </w:pPr>
            <w:r>
              <w:rPr>
                <w:b/>
                <w:sz w:val="17"/>
              </w:rPr>
              <w:t>6. Most actionable exceptions were inventory-cover warnings</w:t>
            </w:r>
          </w:p>
        </w:tc>
        <w:tc>
          <w:tcPr>
            <w:tcW w:w="4309" w:type="dxa"/>
          </w:tcPr>
          <w:p w14:paraId="689C0CA8" w14:textId="77777777" w:rsidR="00364C9B" w:rsidRDefault="00000000">
            <w:pPr>
              <w:spacing w:after="40"/>
            </w:pPr>
            <w:r>
              <w:rPr>
                <w:sz w:val="17"/>
              </w:rPr>
              <w:t>The exception engine identified 133 actionable product-weeks: 129 Warning and 4 Critical. Most warning-level exceptions were driven by low finished-goods stock cover.</w:t>
            </w:r>
          </w:p>
        </w:tc>
        <w:tc>
          <w:tcPr>
            <w:tcW w:w="4195" w:type="dxa"/>
          </w:tcPr>
          <w:p w14:paraId="459E66D7" w14:textId="77777777" w:rsidR="00364C9B" w:rsidRDefault="00000000">
            <w:pPr>
              <w:spacing w:after="40"/>
            </w:pPr>
            <w:r>
              <w:rPr>
                <w:sz w:val="17"/>
              </w:rPr>
              <w:t>The exception engine functions as an early-warning mechanism, not only as a detector of actual stockouts.</w:t>
            </w:r>
          </w:p>
        </w:tc>
        <w:tc>
          <w:tcPr>
            <w:tcW w:w="3742" w:type="dxa"/>
          </w:tcPr>
          <w:p w14:paraId="68DC2FD4" w14:textId="77777777" w:rsidR="00364C9B" w:rsidRDefault="00000000">
            <w:pPr>
              <w:spacing w:after="40"/>
            </w:pPr>
            <w:r>
              <w:rPr>
                <w:sz w:val="17"/>
              </w:rPr>
              <w:t>Prioritise Critical exceptions first and use Warning exceptions as a structured monitoring queue.</w:t>
            </w:r>
          </w:p>
        </w:tc>
      </w:tr>
    </w:tbl>
    <w:p w14:paraId="101CFCB5" w14:textId="1E78696E" w:rsidR="00364C9B" w:rsidRDefault="00364C9B">
      <w:pPr>
        <w:spacing w:before="160"/>
      </w:pPr>
    </w:p>
    <w:sectPr w:rsidR="00364C9B">
      <w:footerReference w:type="default" r:id="rId8"/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66EFA" w14:textId="77777777" w:rsidR="00EE0E10" w:rsidRDefault="00EE0E10">
      <w:pPr>
        <w:spacing w:after="0" w:line="240" w:lineRule="auto"/>
      </w:pPr>
      <w:r>
        <w:separator/>
      </w:r>
    </w:p>
  </w:endnote>
  <w:endnote w:type="continuationSeparator" w:id="0">
    <w:p w14:paraId="304ABB88" w14:textId="77777777" w:rsidR="00EE0E10" w:rsidRDefault="00EE0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95038" w14:textId="77777777" w:rsidR="00364C9B" w:rsidRDefault="00000000">
    <w:pPr>
      <w:pStyle w:val="Footer"/>
      <w:jc w:val="center"/>
    </w:pPr>
    <w:r>
      <w:rPr>
        <w:i/>
        <w:sz w:val="16"/>
      </w:rPr>
      <w:t>Northfield Foods | Synthetic Operations Analytics Portfolio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D03A1" w14:textId="77777777" w:rsidR="00EE0E10" w:rsidRDefault="00EE0E10">
      <w:pPr>
        <w:spacing w:after="0" w:line="240" w:lineRule="auto"/>
      </w:pPr>
      <w:r>
        <w:separator/>
      </w:r>
    </w:p>
  </w:footnote>
  <w:footnote w:type="continuationSeparator" w:id="0">
    <w:p w14:paraId="62018179" w14:textId="77777777" w:rsidR="00EE0E10" w:rsidRDefault="00EE0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273510">
    <w:abstractNumId w:val="8"/>
  </w:num>
  <w:num w:numId="2" w16cid:durableId="1024359152">
    <w:abstractNumId w:val="6"/>
  </w:num>
  <w:num w:numId="3" w16cid:durableId="1440568116">
    <w:abstractNumId w:val="5"/>
  </w:num>
  <w:num w:numId="4" w16cid:durableId="53819067">
    <w:abstractNumId w:val="4"/>
  </w:num>
  <w:num w:numId="5" w16cid:durableId="1673100427">
    <w:abstractNumId w:val="7"/>
  </w:num>
  <w:num w:numId="6" w16cid:durableId="968055006">
    <w:abstractNumId w:val="3"/>
  </w:num>
  <w:num w:numId="7" w16cid:durableId="1968581335">
    <w:abstractNumId w:val="2"/>
  </w:num>
  <w:num w:numId="8" w16cid:durableId="356472302">
    <w:abstractNumId w:val="1"/>
  </w:num>
  <w:num w:numId="9" w16cid:durableId="91732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C3B"/>
    <w:rsid w:val="0006063C"/>
    <w:rsid w:val="0015074B"/>
    <w:rsid w:val="0029639D"/>
    <w:rsid w:val="00326F90"/>
    <w:rsid w:val="00364C9B"/>
    <w:rsid w:val="003A076D"/>
    <w:rsid w:val="008F7048"/>
    <w:rsid w:val="00A760AD"/>
    <w:rsid w:val="00AA1D8D"/>
    <w:rsid w:val="00B47730"/>
    <w:rsid w:val="00B54684"/>
    <w:rsid w:val="00CB0664"/>
    <w:rsid w:val="00EE0E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228D1"/>
  <w14:defaultImageDpi w14:val="300"/>
  <w15:docId w15:val="{F6A7593F-59BE-4D01-ACF9-A7B125B5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shan jiyas</cp:lastModifiedBy>
  <cp:revision>3</cp:revision>
  <dcterms:created xsi:type="dcterms:W3CDTF">2013-12-23T23:15:00Z</dcterms:created>
  <dcterms:modified xsi:type="dcterms:W3CDTF">2026-09-11T23:45:00Z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c0573701-3953-4535-8a12-2359d79f813f</vt:lpwstr>
  </property>
</Properties>
</file>