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45D707C">
      <w:pPr>
        <w:pStyle w:val="style0"/>
        <w:spacing w:after="360"/>
        <w:jc w:val="center"/>
        <w:rPr/>
      </w:pPr>
      <w:r>
        <w:rPr>
          <w:rFonts w:ascii="Noto Sans CJK SC" w:eastAsia="Noto Sans CJK SC" w:hAnsi="Noto Sans CJK SC"/>
          <w:b/>
          <w:color w:val="0f766e"/>
          <w:sz w:val="28"/>
        </w:rPr>
        <w:t>庆喜儿 AI 情感陪伴玩具</w:t>
      </w:r>
    </w:p>
    <w:p w14:paraId="10C3CBAE">
      <w:pPr>
        <w:pStyle w:val="style0"/>
        <w:jc w:val="center"/>
        <w:rPr/>
      </w:pPr>
      <w:r>
        <w:rPr>
          <w:rFonts w:ascii="Noto Sans CJK SC" w:eastAsia="Noto Sans CJK SC" w:hAnsi="Noto Sans CJK SC"/>
          <w:b/>
          <w:color w:val="134e4a"/>
          <w:sz w:val="48"/>
        </w:rPr>
        <w:t>环境部署清单</w:t>
      </w:r>
    </w:p>
    <w:p w14:paraId="C7AB6EFD">
      <w:pPr>
        <w:pStyle w:val="style0"/>
        <w:jc w:val="center"/>
        <w:rPr/>
      </w:pPr>
      <w:r>
        <w:rPr>
          <w:rFonts w:ascii="Noto Sans CJK SC" w:eastAsia="Noto Sans CJK SC" w:hAnsi="Noto Sans CJK SC"/>
          <w:b w:val="false"/>
          <w:color w:val="4b5563"/>
          <w:sz w:val="22"/>
        </w:rPr>
        <w:t>域名 · 服务器 · 第三方账号 · 上线准备</w:t>
      </w:r>
    </w:p>
    <w:p w14:paraId="2BBCCDCE">
      <w:pPr>
        <w:pStyle w:val="style0"/>
        <w:rPr/>
      </w:pP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4986"/>
        <w:gridCol w:w="4986"/>
      </w:tblGrid>
      <w:tr w14:paraId="560633BF">
        <w:trPr>
          <w:jc w:val="center"/>
        </w:trPr>
        <w:tc>
          <w:tcPr>
            <w:tcW w:w="4986" w:type="dxa"/>
            <w:tcBorders/>
            <w:shd w:val="nil" w:color="auto" w:fill="e6fffa"/>
            <w:vAlign w:val="center"/>
          </w:tcPr>
          <w:p w14:paraId="600973CC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sz w:val="18"/>
              </w:rPr>
              <w:t>文档版本</w:t>
            </w:r>
          </w:p>
        </w:tc>
        <w:tc>
          <w:tcPr>
            <w:tcW w:w="4986" w:type="dxa"/>
            <w:tcBorders/>
            <w:vAlign w:val="center"/>
          </w:tcPr>
          <w:p w14:paraId="85459E24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 w:val="false"/>
                <w:sz w:val="18"/>
              </w:rPr>
              <w:t>V1.0</w:t>
            </w:r>
          </w:p>
        </w:tc>
      </w:tr>
      <w:tr w14:paraId="2B58C34C">
        <w:tblPrEx/>
        <w:trPr>
          <w:jc w:val="center"/>
        </w:trPr>
        <w:tc>
          <w:tcPr>
            <w:tcW w:w="4986" w:type="dxa"/>
            <w:tcBorders/>
            <w:shd w:val="nil" w:color="auto" w:fill="e6fffa"/>
            <w:vAlign w:val="center"/>
          </w:tcPr>
          <w:p w14:paraId="7511BB5E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sz w:val="18"/>
              </w:rPr>
              <w:t>编制日期</w:t>
            </w:r>
          </w:p>
        </w:tc>
        <w:tc>
          <w:tcPr>
            <w:tcW w:w="4986" w:type="dxa"/>
            <w:tcBorders/>
            <w:vAlign w:val="center"/>
          </w:tcPr>
          <w:p w14:paraId="CD53FCDA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 w:val="false"/>
                <w:sz w:val="18"/>
              </w:rPr>
              <w:t>2026-06-14</w:t>
            </w:r>
          </w:p>
        </w:tc>
      </w:tr>
      <w:tr w14:paraId="2B2DCD17">
        <w:tblPrEx/>
        <w:trPr>
          <w:jc w:val="center"/>
        </w:trPr>
        <w:tc>
          <w:tcPr>
            <w:tcW w:w="4986" w:type="dxa"/>
            <w:tcBorders/>
            <w:shd w:val="nil" w:color="auto" w:fill="e6fffa"/>
            <w:vAlign w:val="center"/>
          </w:tcPr>
          <w:p w14:paraId="23071A68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sz w:val="18"/>
              </w:rPr>
              <w:t>适用范围</w:t>
            </w:r>
          </w:p>
        </w:tc>
        <w:tc>
          <w:tcPr>
            <w:tcW w:w="4986" w:type="dxa"/>
            <w:tcBorders/>
            <w:vAlign w:val="center"/>
          </w:tcPr>
          <w:p w14:paraId="B9DB1E88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 w:val="false"/>
                <w:sz w:val="18"/>
              </w:rPr>
              <w:t>后端服务、微信小程序、设备固件联调、云端部署与验收准备</w:t>
            </w:r>
          </w:p>
        </w:tc>
      </w:tr>
      <w:tr w14:paraId="C637C65E">
        <w:tblPrEx/>
        <w:trPr>
          <w:jc w:val="center"/>
        </w:trPr>
        <w:tc>
          <w:tcPr>
            <w:tcW w:w="4986" w:type="dxa"/>
            <w:tcBorders/>
            <w:shd w:val="nil" w:color="auto" w:fill="e6fffa"/>
            <w:vAlign w:val="center"/>
          </w:tcPr>
          <w:p w14:paraId="2BF83D76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sz w:val="18"/>
              </w:rPr>
              <w:t>依据资料</w:t>
            </w:r>
          </w:p>
        </w:tc>
        <w:tc>
          <w:tcPr>
            <w:tcW w:w="4986" w:type="dxa"/>
            <w:tcBorders/>
            <w:vAlign w:val="center"/>
          </w:tcPr>
          <w:p w14:paraId="917560E9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 w:val="false"/>
                <w:sz w:val="18"/>
              </w:rPr>
              <w:t>产品功能清单、AI 玩具项目功能清单、硬件原理图设计说明、验收测试标准</w:t>
            </w:r>
          </w:p>
        </w:tc>
      </w:tr>
      <w:tr w14:paraId="51DA2652">
        <w:tblPrEx/>
        <w:trPr>
          <w:jc w:val="center"/>
        </w:trPr>
        <w:tc>
          <w:tcPr>
            <w:tcW w:w="4986" w:type="dxa"/>
            <w:tcBorders/>
            <w:shd w:val="nil" w:color="auto" w:fill="e6fffa"/>
            <w:vAlign w:val="center"/>
          </w:tcPr>
          <w:p w14:paraId="DCA4EC1D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sz w:val="18"/>
              </w:rPr>
              <w:t>状态</w:t>
            </w:r>
          </w:p>
        </w:tc>
        <w:tc>
          <w:tcPr>
            <w:tcW w:w="4986" w:type="dxa"/>
            <w:tcBorders/>
            <w:vAlign w:val="center"/>
          </w:tcPr>
          <w:p w14:paraId="5918D322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 w:val="false"/>
                <w:sz w:val="18"/>
              </w:rPr>
              <w:t>内部评审稿；待产品、硬件、云端和甲方运维确认</w:t>
            </w:r>
          </w:p>
        </w:tc>
      </w:tr>
    </w:tbl>
    <w:p w14:paraId="6125D120">
      <w:pPr>
        <w:pStyle w:val="style0"/>
        <w:rPr/>
      </w:pPr>
    </w:p>
    <w:tbl>
      <w:tblPr>
        <w:tblStyle w:val="style154"/>
        <w:tblW w:w="0" w:type="auto"/>
        <w:jc w:val="center"/>
        <w:tblBorders>
          <w:top w:val="single" w:sz="6" w:space="0" w:color="99f6e4"/>
          <w:left w:val="single" w:sz="6" w:space="0" w:color="99f6e4"/>
          <w:bottom w:val="single" w:sz="6" w:space="0" w:color="99f6e4"/>
          <w:right w:val="single" w:sz="6" w:space="0" w:color="99f6e4"/>
          <w:insideH w:val="single" w:sz="6" w:space="0" w:color="99f6e4"/>
          <w:insideV w:val="single" w:sz="6" w:space="0" w:color="99f6e4"/>
        </w:tblBorders>
        <w:tblLook w:val="04A0" w:firstRow="1" w:lastRow="0" w:firstColumn="1" w:lastColumn="0" w:noHBand="0" w:noVBand="1"/>
      </w:tblPr>
      <w:tblGrid>
        <w:gridCol w:w="9972"/>
      </w:tblGrid>
      <w:tr w14:paraId="5BFC6239">
        <w:trPr>
          <w:jc w:val="center"/>
        </w:trPr>
        <w:tc>
          <w:tcPr>
            <w:tcW w:w="9972" w:type="dxa"/>
            <w:tcBorders/>
            <w:shd w:val="nil" w:color="auto" w:fill="f0fdfa"/>
          </w:tcPr>
          <w:p w14:paraId="BF4BF54E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color w:val="134e4a"/>
                <w:sz w:val="18"/>
              </w:rPr>
              <w:t>说明：</w:t>
            </w:r>
            <w:r>
              <w:rPr>
                <w:rFonts w:ascii="Noto Sans CJK SC" w:eastAsia="Noto Sans CJK SC" w:hAnsi="Noto Sans CJK SC"/>
                <w:b w:val="false"/>
                <w:color w:val="111827"/>
                <w:sz w:val="18"/>
              </w:rPr>
              <w:t>本文档根据现有项目资料进行工程化拆解，重点固化可研发、可联调、可验收的技术口径。涉及第三方服务的账号、实名/资质、价格和政策要求，以甲方最终开通平台规则为准。</w:t>
            </w:r>
          </w:p>
        </w:tc>
      </w:tr>
    </w:tbl>
    <w:p w14:paraId="33B7C697">
      <w:pPr>
        <w:pStyle w:val="style0"/>
        <w:rPr/>
      </w:pPr>
    </w:p>
    <w:p w14:paraId="41FC41BA">
      <w:pPr>
        <w:pStyle w:val="style0"/>
        <w:rPr/>
      </w:pPr>
      <w:r>
        <w:br w:type="page"/>
      </w:r>
    </w:p>
    <w:p w14:paraId="ABD2D508">
      <w:pPr>
        <w:pStyle w:val="style1"/>
        <w:rPr/>
      </w:pPr>
      <w:r>
        <w:t>目录</w:t>
      </w:r>
    </w:p>
    <w:p w14:paraId="D369C113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1. 1. 部署前提和责任边界</w:t>
      </w:r>
    </w:p>
    <w:p w14:paraId="57A7B598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2. 2. 域名、DNS 与证书清单</w:t>
      </w:r>
    </w:p>
    <w:p w14:paraId="2BF0363C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3. 3. 服务器与云资源清单</w:t>
      </w:r>
    </w:p>
    <w:p w14:paraId="63D65BA7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4. 4. 第三方账号与密钥清单</w:t>
      </w:r>
    </w:p>
    <w:p w14:paraId="46DDB82D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5. 5. 环境变量与密钥</w:t>
      </w:r>
    </w:p>
    <w:p w14:paraId="C50406FD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6. 6. 部署步骤</w:t>
      </w:r>
    </w:p>
    <w:p w14:paraId="1D96F48C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7. 7. 验收准备清单</w:t>
      </w:r>
    </w:p>
    <w:p w14:paraId="E37D2AD3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8. 8. 上线风险与确认项</w:t>
      </w:r>
    </w:p>
    <w:p w14:paraId="309E2ADF">
      <w:pPr>
        <w:pStyle w:val="style0"/>
        <w:rPr/>
      </w:pPr>
      <w:r>
        <w:br w:type="page"/>
      </w:r>
    </w:p>
    <w:p w14:paraId="BE69456A">
      <w:pPr>
        <w:pStyle w:val="style1"/>
        <w:rPr/>
      </w:pPr>
      <w:r>
        <w:t>1. 部署前提和责任边界</w:t>
      </w:r>
    </w:p>
    <w:p w14:paraId="78A63314">
      <w:pPr>
        <w:pStyle w:val="style0"/>
        <w:rPr/>
      </w:pPr>
      <w:r>
        <w:rPr>
          <w:rFonts w:ascii="Noto Sans CJK SC" w:eastAsia="Noto Sans CJK SC" w:hAnsi="Noto Sans CJK SC"/>
        </w:rPr>
        <w:t>以下以“贵方/甲方”为需准备域名、服务器和第三方账号的一方。乙方/研发方默认负责应用部署包、数据库初始化脚本、接口配置说明、固件 OTA 包和联调支持。</w:t>
      </w:r>
    </w:p>
    <w:tbl>
      <w:tblPr>
        <w:tblStyle w:val="style154"/>
        <w:tblW w:w="0" w:type="auto"/>
        <w:jc w:val="center"/>
        <w:tblBorders>
          <w:top w:val="single" w:sz="6" w:space="0" w:color="99f6e4"/>
          <w:left w:val="single" w:sz="6" w:space="0" w:color="99f6e4"/>
          <w:bottom w:val="single" w:sz="6" w:space="0" w:color="99f6e4"/>
          <w:right w:val="single" w:sz="6" w:space="0" w:color="99f6e4"/>
          <w:insideH w:val="single" w:sz="6" w:space="0" w:color="99f6e4"/>
          <w:insideV w:val="single" w:sz="6" w:space="0" w:color="99f6e4"/>
        </w:tblBorders>
        <w:tblLook w:val="04A0" w:firstRow="1" w:lastRow="0" w:firstColumn="1" w:lastColumn="0" w:noHBand="0" w:noVBand="1"/>
      </w:tblPr>
      <w:tblGrid>
        <w:gridCol w:w="9972"/>
      </w:tblGrid>
      <w:tr w14:paraId="6750AD1A">
        <w:trPr>
          <w:jc w:val="center"/>
        </w:trPr>
        <w:tc>
          <w:tcPr>
            <w:tcW w:w="9972" w:type="dxa"/>
            <w:tcBorders/>
            <w:shd w:val="nil" w:color="auto" w:fill="f0fdfa"/>
          </w:tcPr>
          <w:p w14:paraId="28E1FFD1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color w:val="134e4a"/>
                <w:sz w:val="18"/>
              </w:rPr>
              <w:t>关键前提：</w:t>
            </w:r>
            <w:r>
              <w:rPr>
                <w:rFonts w:ascii="Noto Sans CJK SC" w:eastAsia="Noto Sans CJK SC" w:hAnsi="Noto Sans CJK SC"/>
                <w:b w:val="false"/>
                <w:color w:val="111827"/>
                <w:sz w:val="18"/>
              </w:rPr>
              <w:t>微信小程序合法域名、HTTPS 证书、COS/CDN 域名、MQTT/WSS 域名必须在联调前准备完成，否则设备配网、语音链路、上传下载和小程序真机调试会受阻。</w:t>
            </w:r>
          </w:p>
        </w:tc>
      </w:tr>
    </w:tbl>
    <w:p w14:paraId="5BC50532">
      <w:pPr>
        <w:pStyle w:val="style0"/>
        <w:rPr/>
      </w:pPr>
    </w:p>
    <w:p w14:paraId="897885B4">
      <w:pPr>
        <w:pStyle w:val="style1"/>
        <w:rPr/>
      </w:pPr>
      <w:r>
        <w:t>2. 域名、DNS 与证书清单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1814"/>
        <w:gridCol w:w="3183"/>
        <w:gridCol w:w="1814"/>
        <w:gridCol w:w="2835"/>
      </w:tblGrid>
      <w:tr w14:paraId="0AC2CA65">
        <w:trPr>
          <w:cantSplit/>
          <w:tblHeader/>
          <w:jc w:val="center"/>
        </w:trPr>
        <w:tc>
          <w:tcPr>
            <w:tcW w:w="1814" w:type="dxa"/>
            <w:tcBorders/>
            <w:shd w:val="nil" w:color="auto" w:fill="134e4a"/>
            <w:vAlign w:val="center"/>
          </w:tcPr>
          <w:p w14:paraId="5EF6B013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项目</w:t>
            </w:r>
          </w:p>
        </w:tc>
        <w:tc>
          <w:tcPr>
            <w:tcW w:w="2721" w:type="dxa"/>
            <w:tcBorders/>
            <w:shd w:val="nil" w:color="auto" w:fill="134e4a"/>
            <w:vAlign w:val="center"/>
          </w:tcPr>
          <w:p w14:paraId="3EDD1AC2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建议值</w:t>
            </w:r>
          </w:p>
        </w:tc>
        <w:tc>
          <w:tcPr>
            <w:tcW w:w="1814" w:type="dxa"/>
            <w:tcBorders/>
            <w:shd w:val="nil" w:color="auto" w:fill="134e4a"/>
            <w:vAlign w:val="center"/>
          </w:tcPr>
          <w:p w14:paraId="75D4E892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准备方</w:t>
            </w:r>
          </w:p>
        </w:tc>
        <w:tc>
          <w:tcPr>
            <w:tcW w:w="2835" w:type="dxa"/>
            <w:tcBorders/>
            <w:shd w:val="nil" w:color="auto" w:fill="134e4a"/>
            <w:vAlign w:val="center"/>
          </w:tcPr>
          <w:p w14:paraId="643141DA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说明</w:t>
            </w:r>
          </w:p>
        </w:tc>
      </w:tr>
      <w:tr w14:paraId="272D5B98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D38DB4A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主域名</w:t>
            </w:r>
          </w:p>
        </w:tc>
        <w:tc>
          <w:tcPr>
            <w:tcW w:w="2721" w:type="dxa"/>
            <w:tcBorders/>
            <w:vAlign w:val="center"/>
          </w:tcPr>
          <w:p w14:paraId="0765D2E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qingxier.com 或贵方自有域名</w:t>
            </w:r>
          </w:p>
        </w:tc>
        <w:tc>
          <w:tcPr>
            <w:tcW w:w="1814" w:type="dxa"/>
            <w:tcBorders/>
            <w:vAlign w:val="center"/>
          </w:tcPr>
          <w:p w14:paraId="8046B2D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甲方</w:t>
            </w:r>
          </w:p>
        </w:tc>
        <w:tc>
          <w:tcPr>
            <w:tcW w:w="2835" w:type="dxa"/>
            <w:tcBorders/>
            <w:vAlign w:val="center"/>
          </w:tcPr>
          <w:p w14:paraId="6892054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需完成实名/备案/解析权限；以下子域名均以示例主域名替换。</w:t>
            </w:r>
          </w:p>
        </w:tc>
      </w:tr>
      <w:tr w14:paraId="750EBEEA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F970C56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API 域名</w:t>
            </w:r>
          </w:p>
        </w:tc>
        <w:tc>
          <w:tcPr>
            <w:tcW w:w="2721" w:type="dxa"/>
            <w:tcBorders/>
            <w:vAlign w:val="center"/>
          </w:tcPr>
          <w:p w14:paraId="7BA328D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api.qingxier.com</w:t>
            </w:r>
          </w:p>
        </w:tc>
        <w:tc>
          <w:tcPr>
            <w:tcW w:w="1814" w:type="dxa"/>
            <w:tcBorders/>
            <w:vAlign w:val="center"/>
          </w:tcPr>
          <w:p w14:paraId="DFA1F9E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甲方/运维</w:t>
            </w:r>
          </w:p>
        </w:tc>
        <w:tc>
          <w:tcPr>
            <w:tcW w:w="2835" w:type="dxa"/>
            <w:tcBorders/>
            <w:vAlign w:val="center"/>
          </w:tcPr>
          <w:p w14:paraId="8793183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小程序 request 合法域名；HTTPS 443；对接后端 REST API。</w:t>
            </w:r>
          </w:p>
        </w:tc>
      </w:tr>
      <w:tr w14:paraId="A91BE7A6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2C41A96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语音 WebSocket 域名</w:t>
            </w:r>
          </w:p>
        </w:tc>
        <w:tc>
          <w:tcPr>
            <w:tcW w:w="2721" w:type="dxa"/>
            <w:tcBorders/>
            <w:vAlign w:val="center"/>
          </w:tcPr>
          <w:p w14:paraId="D87A781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voice.qingxier.com</w:t>
            </w:r>
          </w:p>
        </w:tc>
        <w:tc>
          <w:tcPr>
            <w:tcW w:w="1814" w:type="dxa"/>
            <w:tcBorders/>
            <w:vAlign w:val="center"/>
          </w:tcPr>
          <w:p w14:paraId="B5E22F8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甲方/运维</w:t>
            </w:r>
          </w:p>
        </w:tc>
        <w:tc>
          <w:tcPr>
            <w:tcW w:w="2835" w:type="dxa"/>
            <w:tcBorders/>
            <w:vAlign w:val="center"/>
          </w:tcPr>
          <w:p w14:paraId="AA95CC2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小程序/设备 socket 合法域名；WSS 443；承载实时语音。</w:t>
            </w:r>
          </w:p>
        </w:tc>
      </w:tr>
      <w:tr w14:paraId="CD3AE248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DEEA1CC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MQTT 域名</w:t>
            </w:r>
          </w:p>
        </w:tc>
        <w:tc>
          <w:tcPr>
            <w:tcW w:w="2721" w:type="dxa"/>
            <w:tcBorders/>
            <w:vAlign w:val="center"/>
          </w:tcPr>
          <w:p w14:paraId="E16A46D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mqtt.qingxier.com</w:t>
            </w:r>
          </w:p>
        </w:tc>
        <w:tc>
          <w:tcPr>
            <w:tcW w:w="1814" w:type="dxa"/>
            <w:tcBorders/>
            <w:vAlign w:val="center"/>
          </w:tcPr>
          <w:p w14:paraId="F902A47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甲方/运维</w:t>
            </w:r>
          </w:p>
        </w:tc>
        <w:tc>
          <w:tcPr>
            <w:tcW w:w="2835" w:type="dxa"/>
            <w:tcBorders/>
            <w:vAlign w:val="center"/>
          </w:tcPr>
          <w:p w14:paraId="E6EA453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设备 MQTTS 8883；可额外启用 WSS MQTT 8084/443。</w:t>
            </w:r>
          </w:p>
        </w:tc>
      </w:tr>
      <w:tr w14:paraId="F469342D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10D093E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运营后台域名</w:t>
            </w:r>
          </w:p>
        </w:tc>
        <w:tc>
          <w:tcPr>
            <w:tcW w:w="2721" w:type="dxa"/>
            <w:tcBorders/>
            <w:vAlign w:val="center"/>
          </w:tcPr>
          <w:p w14:paraId="E48716D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admin.qingxier.com</w:t>
            </w:r>
          </w:p>
        </w:tc>
        <w:tc>
          <w:tcPr>
            <w:tcW w:w="1814" w:type="dxa"/>
            <w:tcBorders/>
            <w:vAlign w:val="center"/>
          </w:tcPr>
          <w:p w14:paraId="3522957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甲方/运维</w:t>
            </w:r>
          </w:p>
        </w:tc>
        <w:tc>
          <w:tcPr>
            <w:tcW w:w="2835" w:type="dxa"/>
            <w:tcBorders/>
            <w:vAlign w:val="center"/>
          </w:tcPr>
          <w:p w14:paraId="0A3847C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运营后台和内容审核；建议加 IP 白名单/MFA。</w:t>
            </w:r>
          </w:p>
        </w:tc>
      </w:tr>
      <w:tr w14:paraId="826BF736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BF23AA4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资源/CDN 域名</w:t>
            </w:r>
          </w:p>
        </w:tc>
        <w:tc>
          <w:tcPr>
            <w:tcW w:w="2721" w:type="dxa"/>
            <w:tcBorders/>
            <w:vAlign w:val="center"/>
          </w:tcPr>
          <w:p w14:paraId="3262B8B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cdn.qingxier.com</w:t>
            </w:r>
          </w:p>
        </w:tc>
        <w:tc>
          <w:tcPr>
            <w:tcW w:w="1814" w:type="dxa"/>
            <w:tcBorders/>
            <w:vAlign w:val="center"/>
          </w:tcPr>
          <w:p w14:paraId="9D12E4D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甲方/云账号</w:t>
            </w:r>
          </w:p>
        </w:tc>
        <w:tc>
          <w:tcPr>
            <w:tcW w:w="2835" w:type="dxa"/>
            <w:tcBorders/>
            <w:vAlign w:val="center"/>
          </w:tcPr>
          <w:p w14:paraId="06E1F62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小程序 downloadFile 合法域名；OTA、表情、TTS、自定义内容下载。</w:t>
            </w:r>
          </w:p>
        </w:tc>
      </w:tr>
      <w:tr w14:paraId="03FF9050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2F4317C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上传域名</w:t>
            </w:r>
          </w:p>
        </w:tc>
        <w:tc>
          <w:tcPr>
            <w:tcW w:w="2721" w:type="dxa"/>
            <w:tcBorders/>
            <w:vAlign w:val="center"/>
          </w:tcPr>
          <w:p w14:paraId="3D71065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upload.qingxier.com 或 COS 域名</w:t>
            </w:r>
          </w:p>
        </w:tc>
        <w:tc>
          <w:tcPr>
            <w:tcW w:w="1814" w:type="dxa"/>
            <w:tcBorders/>
            <w:vAlign w:val="center"/>
          </w:tcPr>
          <w:p w14:paraId="731F872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甲方/云账号</w:t>
            </w:r>
          </w:p>
        </w:tc>
        <w:tc>
          <w:tcPr>
            <w:tcW w:w="2835" w:type="dxa"/>
            <w:tcBorders/>
            <w:vAlign w:val="center"/>
          </w:tcPr>
          <w:p w14:paraId="51BA459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小程序 uploadFile 合法域名；语音样本、自定义故事上传。</w:t>
            </w:r>
          </w:p>
        </w:tc>
      </w:tr>
      <w:tr w14:paraId="EBA6FB98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B3DA010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支付回调域名</w:t>
            </w:r>
          </w:p>
        </w:tc>
        <w:tc>
          <w:tcPr>
            <w:tcW w:w="2721" w:type="dxa"/>
            <w:tcBorders/>
            <w:vAlign w:val="center"/>
          </w:tcPr>
          <w:p w14:paraId="0BE0ED4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api.qingxier.com/payments/wechat/notify</w:t>
            </w:r>
          </w:p>
        </w:tc>
        <w:tc>
          <w:tcPr>
            <w:tcW w:w="1814" w:type="dxa"/>
            <w:tcBorders/>
            <w:vAlign w:val="center"/>
          </w:tcPr>
          <w:p w14:paraId="3EE8FA6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甲方/微信支付</w:t>
            </w:r>
          </w:p>
        </w:tc>
        <w:tc>
          <w:tcPr>
            <w:tcW w:w="2835" w:type="dxa"/>
            <w:tcBorders/>
            <w:vAlign w:val="center"/>
          </w:tcPr>
          <w:p w14:paraId="7703BE6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微信支付商户平台配置回调 URL；需公网 HTTPS。</w:t>
            </w:r>
          </w:p>
        </w:tc>
      </w:tr>
      <w:tr w14:paraId="67200FCE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1EBA453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证书</w:t>
            </w:r>
          </w:p>
        </w:tc>
        <w:tc>
          <w:tcPr>
            <w:tcW w:w="2721" w:type="dxa"/>
            <w:tcBorders/>
            <w:vAlign w:val="center"/>
          </w:tcPr>
          <w:p w14:paraId="3EB558C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通配符 *.qingxier.com 或逐域名单域证书</w:t>
            </w:r>
          </w:p>
        </w:tc>
        <w:tc>
          <w:tcPr>
            <w:tcW w:w="1814" w:type="dxa"/>
            <w:tcBorders/>
            <w:vAlign w:val="center"/>
          </w:tcPr>
          <w:p w14:paraId="518DCD1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甲方/运维</w:t>
            </w:r>
          </w:p>
        </w:tc>
        <w:tc>
          <w:tcPr>
            <w:tcW w:w="2835" w:type="dxa"/>
            <w:tcBorders/>
            <w:vAlign w:val="center"/>
          </w:tcPr>
          <w:p w14:paraId="1B32CB7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Nginx/负载均衡、EMQX、WSS 均需部署；注意续期告警。</w:t>
            </w:r>
          </w:p>
        </w:tc>
      </w:tr>
    </w:tbl>
    <w:p w14:paraId="6B6A8B60">
      <w:pPr>
        <w:pStyle w:val="style0"/>
        <w:rPr/>
      </w:pPr>
    </w:p>
    <w:p w14:paraId="CA5641E7">
      <w:pPr>
        <w:pStyle w:val="style2"/>
        <w:rPr/>
      </w:pPr>
      <w:r>
        <w:t>2.1 小程序平台需配置的合法域名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2835"/>
        <w:gridCol w:w="6237"/>
      </w:tblGrid>
      <w:tr w14:paraId="9D308467">
        <w:trPr>
          <w:cantSplit/>
          <w:tblHeader/>
          <w:jc w:val="center"/>
        </w:trPr>
        <w:tc>
          <w:tcPr>
            <w:tcW w:w="2835" w:type="dxa"/>
            <w:tcBorders/>
            <w:shd w:val="nil" w:color="auto" w:fill="134e4a"/>
            <w:vAlign w:val="center"/>
          </w:tcPr>
          <w:p w14:paraId="F101FE54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小程序配置项</w:t>
            </w:r>
          </w:p>
        </w:tc>
        <w:tc>
          <w:tcPr>
            <w:tcW w:w="6237" w:type="dxa"/>
            <w:tcBorders/>
            <w:shd w:val="nil" w:color="auto" w:fill="134e4a"/>
            <w:vAlign w:val="center"/>
          </w:tcPr>
          <w:p w14:paraId="A52A664A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建议域名</w:t>
            </w:r>
          </w:p>
        </w:tc>
      </w:tr>
      <w:tr w14:paraId="5CE06CA8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B4F4A66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request 合法域名</w:t>
            </w:r>
          </w:p>
        </w:tc>
        <w:tc>
          <w:tcPr>
            <w:tcW w:w="6237" w:type="dxa"/>
            <w:tcBorders/>
            <w:vAlign w:val="center"/>
          </w:tcPr>
          <w:p w14:paraId="4A44634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https://api.qingxier.com</w:t>
            </w:r>
          </w:p>
        </w:tc>
      </w:tr>
      <w:tr w14:paraId="D0FF1A9C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E33E595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socket 合法域名</w:t>
            </w:r>
          </w:p>
        </w:tc>
        <w:tc>
          <w:tcPr>
            <w:tcW w:w="6237" w:type="dxa"/>
            <w:tcBorders/>
            <w:vAlign w:val="center"/>
          </w:tcPr>
          <w:p w14:paraId="53C19A4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wss://voice.qingxier.com；如小程序直连 MQTT over WSS，则增加 wss://mqtt.qingxier.com</w:t>
            </w:r>
          </w:p>
        </w:tc>
      </w:tr>
      <w:tr w14:paraId="2DCCFEBB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1C2B49B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uploadFile 合法域名</w:t>
            </w:r>
          </w:p>
        </w:tc>
        <w:tc>
          <w:tcPr>
            <w:tcW w:w="6237" w:type="dxa"/>
            <w:tcBorders/>
            <w:vAlign w:val="center"/>
          </w:tcPr>
          <w:p w14:paraId="BCADC89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https://upload.qingxier.com 或 COS 自定义上传域名</w:t>
            </w:r>
          </w:p>
        </w:tc>
      </w:tr>
      <w:tr w14:paraId="B4FE504F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579C50A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downloadFile 合法域名</w:t>
            </w:r>
          </w:p>
        </w:tc>
        <w:tc>
          <w:tcPr>
            <w:tcW w:w="6237" w:type="dxa"/>
            <w:tcBorders/>
            <w:vAlign w:val="center"/>
          </w:tcPr>
          <w:p w14:paraId="C4C5615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https://cdn.qingxier.com</w:t>
            </w:r>
          </w:p>
        </w:tc>
      </w:tr>
      <w:tr w14:paraId="630927E4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571E8E8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业务域名</w:t>
            </w:r>
          </w:p>
        </w:tc>
        <w:tc>
          <w:tcPr>
            <w:tcW w:w="6237" w:type="dxa"/>
            <w:tcBorders/>
            <w:vAlign w:val="center"/>
          </w:tcPr>
          <w:p w14:paraId="1BF0C58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如需 H5 活动页/协议页，再配置 https://h5.qingxier.com</w:t>
            </w:r>
          </w:p>
        </w:tc>
      </w:tr>
    </w:tbl>
    <w:p w14:paraId="8D11B895">
      <w:pPr>
        <w:pStyle w:val="style0"/>
        <w:rPr/>
      </w:pPr>
    </w:p>
    <w:p w14:paraId="1862647D">
      <w:pPr>
        <w:pStyle w:val="style1"/>
        <w:rPr/>
      </w:pPr>
      <w:r>
        <w:t>3. 服务器与云资源清单</w:t>
      </w:r>
    </w:p>
    <w:p w14:paraId="6DEB465C">
      <w:pPr>
        <w:pStyle w:val="style0"/>
        <w:jc w:val="center"/>
        <w:rPr/>
      </w:pPr>
      <w:r>
        <w:rPr/>
        <w:drawing>
          <wp:inline distL="0" distT="0" distB="0" distR="0">
            <wp:extent cx="5669280" cy="3039137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69280" cy="30391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9BF55FE">
      <w:pPr>
        <w:pStyle w:val="style0"/>
        <w:jc w:val="center"/>
        <w:rPr/>
      </w:pPr>
      <w:r>
        <w:rPr>
          <w:rFonts w:ascii="Noto Sans CJK SC" w:eastAsia="Noto Sans CJK SC" w:hAnsi="Noto Sans CJK SC"/>
          <w:b w:val="false"/>
          <w:color w:val="6b7280"/>
          <w:sz w:val="16"/>
        </w:rPr>
        <w:t>图 1 建议生产部署拓扑：负载均衡、API、语音、EMQX、MongoDB、Redis、COS/CDN、监控</w:t>
      </w:r>
    </w:p>
    <w:p w14:paraId="93E11BA9">
      <w:pPr>
        <w:pStyle w:val="style2"/>
        <w:rPr/>
      </w:pPr>
      <w:r>
        <w:t>3.1 环境规划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1701"/>
        <w:gridCol w:w="2551"/>
        <w:gridCol w:w="2835"/>
        <w:gridCol w:w="1984"/>
      </w:tblGrid>
      <w:tr w14:paraId="57E75F6B">
        <w:trPr>
          <w:cantSplit/>
          <w:tblHeader/>
          <w:jc w:val="center"/>
        </w:trPr>
        <w:tc>
          <w:tcPr>
            <w:tcW w:w="1701" w:type="dxa"/>
            <w:tcBorders/>
            <w:shd w:val="nil" w:color="auto" w:fill="134e4a"/>
            <w:vAlign w:val="center"/>
          </w:tcPr>
          <w:p w14:paraId="B3974657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环境</w:t>
            </w:r>
          </w:p>
        </w:tc>
        <w:tc>
          <w:tcPr>
            <w:tcW w:w="2551" w:type="dxa"/>
            <w:tcBorders/>
            <w:shd w:val="nil" w:color="auto" w:fill="134e4a"/>
            <w:vAlign w:val="center"/>
          </w:tcPr>
          <w:p w14:paraId="2626DE63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w="2835" w:type="dxa"/>
            <w:tcBorders/>
            <w:shd w:val="nil" w:color="auto" w:fill="134e4a"/>
            <w:vAlign w:val="center"/>
          </w:tcPr>
          <w:p w14:paraId="FCD60FC1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最低资源</w:t>
            </w:r>
          </w:p>
        </w:tc>
        <w:tc>
          <w:tcPr>
            <w:tcW w:w="1984" w:type="dxa"/>
            <w:tcBorders/>
            <w:shd w:val="nil" w:color="auto" w:fill="134e4a"/>
            <w:vAlign w:val="center"/>
          </w:tcPr>
          <w:p w14:paraId="01B5A980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说明</w:t>
            </w:r>
          </w:p>
        </w:tc>
      </w:tr>
      <w:tr w14:paraId="BF834C56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494D81C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开发环境 dev</w:t>
            </w:r>
          </w:p>
        </w:tc>
        <w:tc>
          <w:tcPr>
            <w:tcW w:w="2551" w:type="dxa"/>
            <w:tcBorders/>
            <w:vAlign w:val="center"/>
          </w:tcPr>
          <w:p w14:paraId="3FB6831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研发自测、接口联调、Mock 第三方</w:t>
            </w:r>
          </w:p>
        </w:tc>
        <w:tc>
          <w:tcPr>
            <w:tcW w:w="2835" w:type="dxa"/>
            <w:tcBorders/>
            <w:vAlign w:val="center"/>
          </w:tcPr>
          <w:p w14:paraId="72EA74A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1 台 2C4G 或本地 Docker Compose</w:t>
            </w:r>
          </w:p>
        </w:tc>
        <w:tc>
          <w:tcPr>
            <w:tcW w:w="1984" w:type="dxa"/>
            <w:tcBorders/>
            <w:vAlign w:val="center"/>
          </w:tcPr>
          <w:p w14:paraId="FE03F2A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可与测试资源复用，但数据必须隔离。</w:t>
            </w:r>
          </w:p>
        </w:tc>
      </w:tr>
      <w:tr w14:paraId="6D2EB975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F9052D6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测试环境 test</w:t>
            </w:r>
          </w:p>
        </w:tc>
        <w:tc>
          <w:tcPr>
            <w:tcW w:w="2551" w:type="dxa"/>
            <w:tcBorders/>
            <w:vAlign w:val="center"/>
          </w:tcPr>
          <w:p w14:paraId="1567ACF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甲乙联调、真机调试、验收预演</w:t>
            </w:r>
          </w:p>
        </w:tc>
        <w:tc>
          <w:tcPr>
            <w:tcW w:w="2835" w:type="dxa"/>
            <w:tcBorders/>
            <w:vAlign w:val="center"/>
          </w:tcPr>
          <w:p w14:paraId="1DCABBD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API 2C4G；EMQX 2C4G；MongoDB/Redis 2C4G；COS 测试桶</w:t>
            </w:r>
          </w:p>
        </w:tc>
        <w:tc>
          <w:tcPr>
            <w:tcW w:w="1984" w:type="dxa"/>
            <w:tcBorders/>
            <w:vAlign w:val="center"/>
          </w:tcPr>
          <w:p w14:paraId="D2202DD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建议独立域名 test-api/test-mqtt/test-cdn。</w:t>
            </w:r>
          </w:p>
        </w:tc>
      </w:tr>
      <w:tr w14:paraId="1CB05046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36A76EA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生产环境 prod</w:t>
            </w:r>
          </w:p>
        </w:tc>
        <w:tc>
          <w:tcPr>
            <w:tcW w:w="2551" w:type="dxa"/>
            <w:tcBorders/>
            <w:vAlign w:val="center"/>
          </w:tcPr>
          <w:p w14:paraId="B35E1C7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正式用户和设备接入</w:t>
            </w:r>
          </w:p>
        </w:tc>
        <w:tc>
          <w:tcPr>
            <w:tcW w:w="2835" w:type="dxa"/>
            <w:tcBorders/>
            <w:vAlign w:val="center"/>
          </w:tcPr>
          <w:p w14:paraId="F8BE98F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见 3.2 推荐规格</w:t>
            </w:r>
          </w:p>
        </w:tc>
        <w:tc>
          <w:tcPr>
            <w:tcW w:w="1984" w:type="dxa"/>
            <w:tcBorders/>
            <w:vAlign w:val="center"/>
          </w:tcPr>
          <w:p w14:paraId="32D1434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需高可用、备份、监控、告警、权限隔离。</w:t>
            </w:r>
          </w:p>
        </w:tc>
      </w:tr>
    </w:tbl>
    <w:p w14:paraId="AE02DCBB">
      <w:pPr>
        <w:pStyle w:val="style0"/>
        <w:rPr/>
      </w:pPr>
    </w:p>
    <w:p w14:paraId="F713660D">
      <w:pPr>
        <w:pStyle w:val="style2"/>
        <w:rPr/>
      </w:pPr>
      <w:r>
        <w:t>3.2 生产资源推荐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1701"/>
        <w:gridCol w:w="2268"/>
        <w:gridCol w:w="2835"/>
        <w:gridCol w:w="2268"/>
      </w:tblGrid>
      <w:tr w14:paraId="CC758EB7">
        <w:trPr>
          <w:cantSplit/>
          <w:tblHeader/>
          <w:jc w:val="center"/>
        </w:trPr>
        <w:tc>
          <w:tcPr>
            <w:tcW w:w="1701" w:type="dxa"/>
            <w:tcBorders/>
            <w:shd w:val="nil" w:color="auto" w:fill="134e4a"/>
            <w:vAlign w:val="center"/>
          </w:tcPr>
          <w:p w14:paraId="2771C487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资源</w:t>
            </w:r>
          </w:p>
        </w:tc>
        <w:tc>
          <w:tcPr>
            <w:tcW w:w="2268" w:type="dxa"/>
            <w:tcBorders/>
            <w:shd w:val="nil" w:color="auto" w:fill="134e4a"/>
            <w:vAlign w:val="center"/>
          </w:tcPr>
          <w:p w14:paraId="9FA8349A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建议规格</w:t>
            </w:r>
          </w:p>
        </w:tc>
        <w:tc>
          <w:tcPr>
            <w:tcW w:w="2835" w:type="dxa"/>
            <w:tcBorders/>
            <w:shd w:val="nil" w:color="auto" w:fill="134e4a"/>
            <w:vAlign w:val="center"/>
          </w:tcPr>
          <w:p w14:paraId="50316892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w="2268" w:type="dxa"/>
            <w:tcBorders/>
            <w:shd w:val="nil" w:color="auto" w:fill="134e4a"/>
            <w:vAlign w:val="center"/>
          </w:tcPr>
          <w:p w14:paraId="477BECDD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备注</w:t>
            </w:r>
          </w:p>
        </w:tc>
      </w:tr>
      <w:tr w14:paraId="6BE67EB0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62F7991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负载均衡/WAF</w:t>
            </w:r>
          </w:p>
        </w:tc>
        <w:tc>
          <w:tcPr>
            <w:tcW w:w="2268" w:type="dxa"/>
            <w:tcBorders/>
            <w:vAlign w:val="center"/>
          </w:tcPr>
          <w:p w14:paraId="685E5AE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1 套</w:t>
            </w:r>
          </w:p>
        </w:tc>
        <w:tc>
          <w:tcPr>
            <w:tcW w:w="2835" w:type="dxa"/>
            <w:tcBorders/>
            <w:vAlign w:val="center"/>
          </w:tcPr>
          <w:p w14:paraId="ACADBC6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公网 HTTPS 443，转发 API/voice/admin</w:t>
            </w:r>
          </w:p>
        </w:tc>
        <w:tc>
          <w:tcPr>
            <w:tcW w:w="2268" w:type="dxa"/>
            <w:tcBorders/>
            <w:vAlign w:val="center"/>
          </w:tcPr>
          <w:p w14:paraId="DE44412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建议云负载均衡 + WAF，证书统一托管。</w:t>
            </w:r>
          </w:p>
        </w:tc>
      </w:tr>
      <w:tr w14:paraId="03041FCC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93813BF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API/BFF 服务</w:t>
            </w:r>
          </w:p>
        </w:tc>
        <w:tc>
          <w:tcPr>
            <w:tcW w:w="2268" w:type="dxa"/>
            <w:tcBorders/>
            <w:vAlign w:val="center"/>
          </w:tcPr>
          <w:p w14:paraId="D69FC87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2 台 4C8G 起</w:t>
            </w:r>
          </w:p>
        </w:tc>
        <w:tc>
          <w:tcPr>
            <w:tcW w:w="2835" w:type="dxa"/>
            <w:tcBorders/>
            <w:vAlign w:val="center"/>
          </w:tcPr>
          <w:p w14:paraId="4CDADE5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Node.js/NestJS 容器；可水平扩展</w:t>
            </w:r>
          </w:p>
        </w:tc>
        <w:tc>
          <w:tcPr>
            <w:tcW w:w="2268" w:type="dxa"/>
            <w:tcBorders/>
            <w:vAlign w:val="center"/>
          </w:tcPr>
          <w:p w14:paraId="60E125F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初期可单台，正式上线建议双节点。</w:t>
            </w:r>
          </w:p>
        </w:tc>
      </w:tr>
      <w:tr w14:paraId="21261E2F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ED18655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AI/语音网关</w:t>
            </w:r>
          </w:p>
        </w:tc>
        <w:tc>
          <w:tcPr>
            <w:tcW w:w="2268" w:type="dxa"/>
            <w:tcBorders/>
            <w:vAlign w:val="center"/>
          </w:tcPr>
          <w:p w14:paraId="B598F11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1-2 台 4C8G 起</w:t>
            </w:r>
          </w:p>
        </w:tc>
        <w:tc>
          <w:tcPr>
            <w:tcW w:w="2835" w:type="dxa"/>
            <w:tcBorders/>
            <w:vAlign w:val="center"/>
          </w:tcPr>
          <w:p w14:paraId="D77E658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WSS 音频、ASR/TTS/LLM 调度</w:t>
            </w:r>
          </w:p>
        </w:tc>
        <w:tc>
          <w:tcPr>
            <w:tcW w:w="2268" w:type="dxa"/>
            <w:tcBorders/>
            <w:vAlign w:val="center"/>
          </w:tcPr>
          <w:p w14:paraId="FFF676D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如自建 ASR/TTS/LLM 需另配 GPU；MVP 推荐第三方 API。</w:t>
            </w:r>
          </w:p>
        </w:tc>
      </w:tr>
      <w:tr w14:paraId="68BC8830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1469B68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EMQX MQTT</w:t>
            </w:r>
          </w:p>
        </w:tc>
        <w:tc>
          <w:tcPr>
            <w:tcW w:w="2268" w:type="dxa"/>
            <w:tcBorders/>
            <w:vAlign w:val="center"/>
          </w:tcPr>
          <w:p w14:paraId="6D2E98A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2 台 2C4G 起</w:t>
            </w:r>
          </w:p>
        </w:tc>
        <w:tc>
          <w:tcPr>
            <w:tcW w:w="2835" w:type="dxa"/>
            <w:tcBorders/>
            <w:vAlign w:val="center"/>
          </w:tcPr>
          <w:p w14:paraId="D1D57B6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MQTTS 8883/WSS 8084；设备心跳与命令</w:t>
            </w:r>
          </w:p>
        </w:tc>
        <w:tc>
          <w:tcPr>
            <w:tcW w:w="2268" w:type="dxa"/>
            <w:tcBorders/>
            <w:vAlign w:val="center"/>
          </w:tcPr>
          <w:p w14:paraId="EC88CD5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设备量增加后扩为 3 节点集群。</w:t>
            </w:r>
          </w:p>
        </w:tc>
      </w:tr>
      <w:tr w14:paraId="BEF2CEB0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E8222B2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MongoDB</w:t>
            </w:r>
          </w:p>
        </w:tc>
        <w:tc>
          <w:tcPr>
            <w:tcW w:w="2268" w:type="dxa"/>
            <w:tcBorders/>
            <w:vAlign w:val="center"/>
          </w:tcPr>
          <w:p w14:paraId="AD519C9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云数据库或 3 节点副本集，4C8G 起</w:t>
            </w:r>
          </w:p>
        </w:tc>
        <w:tc>
          <w:tcPr>
            <w:tcW w:w="2835" w:type="dxa"/>
            <w:tcBorders/>
            <w:vAlign w:val="center"/>
          </w:tcPr>
          <w:p w14:paraId="5A62101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业务主库、对话、消息、记忆、内容元数据</w:t>
            </w:r>
          </w:p>
        </w:tc>
        <w:tc>
          <w:tcPr>
            <w:tcW w:w="2268" w:type="dxa"/>
            <w:tcBorders/>
            <w:vAlign w:val="center"/>
          </w:tcPr>
          <w:p w14:paraId="EB011C5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生产建议托管版；启用备份和慢查询。</w:t>
            </w:r>
          </w:p>
        </w:tc>
      </w:tr>
      <w:tr w14:paraId="023297DE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6F2738D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Redis</w:t>
            </w:r>
          </w:p>
        </w:tc>
        <w:tc>
          <w:tcPr>
            <w:tcW w:w="2268" w:type="dxa"/>
            <w:tcBorders/>
            <w:vAlign w:val="center"/>
          </w:tcPr>
          <w:p w14:paraId="14F7146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云 Redis 主从，2C4G 起</w:t>
            </w:r>
          </w:p>
        </w:tc>
        <w:tc>
          <w:tcPr>
            <w:tcW w:w="2835" w:type="dxa"/>
            <w:tcBorders/>
            <w:vAlign w:val="center"/>
          </w:tcPr>
          <w:p w14:paraId="A305FDC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在线状态、会话、限流、队列、分布式锁</w:t>
            </w:r>
          </w:p>
        </w:tc>
        <w:tc>
          <w:tcPr>
            <w:tcW w:w="2268" w:type="dxa"/>
            <w:tcBorders/>
            <w:vAlign w:val="center"/>
          </w:tcPr>
          <w:p w14:paraId="FE86549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启用持久化和内网访问。</w:t>
            </w:r>
          </w:p>
        </w:tc>
      </w:tr>
      <w:tr w14:paraId="44B0AC0B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34B3090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COS 对象存储</w:t>
            </w:r>
          </w:p>
        </w:tc>
        <w:tc>
          <w:tcPr>
            <w:tcW w:w="2268" w:type="dxa"/>
            <w:tcBorders/>
            <w:vAlign w:val="center"/>
          </w:tcPr>
          <w:p w14:paraId="F13E4FC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按量</w:t>
            </w:r>
          </w:p>
        </w:tc>
        <w:tc>
          <w:tcPr>
            <w:tcW w:w="2835" w:type="dxa"/>
            <w:tcBorders/>
            <w:vAlign w:val="center"/>
          </w:tcPr>
          <w:p w14:paraId="1655A14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OTA 固件、表情包、TTS 音频、自定义故事、声音样本</w:t>
            </w:r>
          </w:p>
        </w:tc>
        <w:tc>
          <w:tcPr>
            <w:tcW w:w="2268" w:type="dxa"/>
            <w:tcBorders/>
            <w:vAlign w:val="center"/>
          </w:tcPr>
          <w:p w14:paraId="386CCE2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分 test/prod bucket；设置生命周期和防盗链。</w:t>
            </w:r>
          </w:p>
        </w:tc>
      </w:tr>
      <w:tr w14:paraId="255BF6A3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FD6B266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CDN</w:t>
            </w:r>
          </w:p>
        </w:tc>
        <w:tc>
          <w:tcPr>
            <w:tcW w:w="2268" w:type="dxa"/>
            <w:tcBorders/>
            <w:vAlign w:val="center"/>
          </w:tcPr>
          <w:p w14:paraId="98A4288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按量</w:t>
            </w:r>
          </w:p>
        </w:tc>
        <w:tc>
          <w:tcPr>
            <w:tcW w:w="2835" w:type="dxa"/>
            <w:tcBorders/>
            <w:vAlign w:val="center"/>
          </w:tcPr>
          <w:p w14:paraId="16B92BA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资源加速下载</w:t>
            </w:r>
          </w:p>
        </w:tc>
        <w:tc>
          <w:tcPr>
            <w:tcW w:w="2268" w:type="dxa"/>
            <w:tcBorders/>
            <w:vAlign w:val="center"/>
          </w:tcPr>
          <w:p w14:paraId="80605AB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绑定 cdn 子域名；OTA 可按区域加速。</w:t>
            </w:r>
          </w:p>
        </w:tc>
      </w:tr>
      <w:tr w14:paraId="A768BF8F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246CDD2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日志与监控</w:t>
            </w:r>
          </w:p>
        </w:tc>
        <w:tc>
          <w:tcPr>
            <w:tcW w:w="2268" w:type="dxa"/>
            <w:tcBorders/>
            <w:vAlign w:val="center"/>
          </w:tcPr>
          <w:p w14:paraId="E3A1EFE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云日志/Prometheus/Grafana/Sentry</w:t>
            </w:r>
          </w:p>
        </w:tc>
        <w:tc>
          <w:tcPr>
            <w:tcW w:w="2835" w:type="dxa"/>
            <w:tcBorders/>
            <w:vAlign w:val="center"/>
          </w:tcPr>
          <w:p w14:paraId="83F4AC8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应用日志、MQTT 事件、AI 延迟、错误告警</w:t>
            </w:r>
          </w:p>
        </w:tc>
        <w:tc>
          <w:tcPr>
            <w:tcW w:w="2268" w:type="dxa"/>
            <w:tcBorders/>
            <w:vAlign w:val="center"/>
          </w:tcPr>
          <w:p w14:paraId="F94F736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需保留至少 30 天；验收长稳测试时查看。</w:t>
            </w:r>
          </w:p>
        </w:tc>
      </w:tr>
      <w:tr w14:paraId="230B7900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6EFD1EA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备份存储</w:t>
            </w:r>
          </w:p>
        </w:tc>
        <w:tc>
          <w:tcPr>
            <w:tcW w:w="2268" w:type="dxa"/>
            <w:tcBorders/>
            <w:vAlign w:val="center"/>
          </w:tcPr>
          <w:p w14:paraId="3B0FABB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按量</w:t>
            </w:r>
          </w:p>
        </w:tc>
        <w:tc>
          <w:tcPr>
            <w:tcW w:w="2835" w:type="dxa"/>
            <w:tcBorders/>
            <w:vAlign w:val="center"/>
          </w:tcPr>
          <w:p w14:paraId="7882074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MongoDB 备份、配置备份、OTA 包归档</w:t>
            </w:r>
          </w:p>
        </w:tc>
        <w:tc>
          <w:tcPr>
            <w:tcW w:w="2268" w:type="dxa"/>
            <w:tcBorders/>
            <w:vAlign w:val="center"/>
          </w:tcPr>
          <w:p w14:paraId="7CD4AB9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生产至少每日备份，保留 7-30 天。</w:t>
            </w:r>
          </w:p>
        </w:tc>
      </w:tr>
    </w:tbl>
    <w:p w14:paraId="07AAE224">
      <w:pPr>
        <w:pStyle w:val="style0"/>
        <w:rPr/>
      </w:pPr>
    </w:p>
    <w:p w14:paraId="432578BB">
      <w:pPr>
        <w:pStyle w:val="style2"/>
        <w:rPr/>
      </w:pPr>
      <w:r>
        <w:t>3.3 网络与端口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1417"/>
        <w:gridCol w:w="1701"/>
        <w:gridCol w:w="2835"/>
        <w:gridCol w:w="3118"/>
      </w:tblGrid>
      <w:tr w14:paraId="BBE7137A">
        <w:trPr>
          <w:cantSplit/>
          <w:tblHeader/>
          <w:jc w:val="center"/>
        </w:trPr>
        <w:tc>
          <w:tcPr>
            <w:tcW w:w="1417" w:type="dxa"/>
            <w:tcBorders/>
            <w:shd w:val="nil" w:color="auto" w:fill="134e4a"/>
            <w:vAlign w:val="center"/>
          </w:tcPr>
          <w:p w14:paraId="958CBAA8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端口</w:t>
            </w:r>
          </w:p>
        </w:tc>
        <w:tc>
          <w:tcPr>
            <w:tcW w:w="1701" w:type="dxa"/>
            <w:tcBorders/>
            <w:shd w:val="nil" w:color="auto" w:fill="134e4a"/>
            <w:vAlign w:val="center"/>
          </w:tcPr>
          <w:p w14:paraId="D5AE4D2C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开放范围</w:t>
            </w:r>
          </w:p>
        </w:tc>
        <w:tc>
          <w:tcPr>
            <w:tcW w:w="2835" w:type="dxa"/>
            <w:tcBorders/>
            <w:shd w:val="nil" w:color="auto" w:fill="134e4a"/>
            <w:vAlign w:val="center"/>
          </w:tcPr>
          <w:p w14:paraId="2B29F955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w="3118" w:type="dxa"/>
            <w:tcBorders/>
            <w:shd w:val="nil" w:color="auto" w:fill="134e4a"/>
            <w:vAlign w:val="center"/>
          </w:tcPr>
          <w:p w14:paraId="A0E00840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安全要求</w:t>
            </w:r>
          </w:p>
        </w:tc>
      </w:tr>
      <w:tr w14:paraId="BBC5ECE5">
        <w:tblPrEx/>
        <w:trPr>
          <w:cantSplit/>
          <w:jc w:val="center"/>
        </w:trPr>
        <w:tc>
          <w:tcPr>
            <w:tcW w:w="1417" w:type="dxa"/>
            <w:tcBorders/>
            <w:vAlign w:val="center"/>
          </w:tcPr>
          <w:p w14:paraId="C7D3EC4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443/TCP</w:t>
            </w:r>
          </w:p>
        </w:tc>
        <w:tc>
          <w:tcPr>
            <w:tcW w:w="1701" w:type="dxa"/>
            <w:tcBorders/>
            <w:vAlign w:val="center"/>
          </w:tcPr>
          <w:p w14:paraId="0241FC1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公网</w:t>
            </w:r>
          </w:p>
        </w:tc>
        <w:tc>
          <w:tcPr>
            <w:tcW w:w="2835" w:type="dxa"/>
            <w:tcBorders/>
            <w:vAlign w:val="center"/>
          </w:tcPr>
          <w:p w14:paraId="4949793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HTTPS REST、WSS 语音、小程序访问</w:t>
            </w:r>
          </w:p>
        </w:tc>
        <w:tc>
          <w:tcPr>
            <w:tcW w:w="3118" w:type="dxa"/>
            <w:tcBorders/>
            <w:vAlign w:val="center"/>
          </w:tcPr>
          <w:p w14:paraId="C12CA9F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开放给公网；建议走 LB/WAF。</w:t>
            </w:r>
          </w:p>
        </w:tc>
      </w:tr>
      <w:tr w14:paraId="B1D98376">
        <w:tblPrEx/>
        <w:trPr>
          <w:cantSplit/>
          <w:jc w:val="center"/>
        </w:trPr>
        <w:tc>
          <w:tcPr>
            <w:tcW w:w="1417" w:type="dxa"/>
            <w:tcBorders/>
            <w:vAlign w:val="center"/>
          </w:tcPr>
          <w:p w14:paraId="A931C91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8883/TCP</w:t>
            </w:r>
          </w:p>
        </w:tc>
        <w:tc>
          <w:tcPr>
            <w:tcW w:w="1701" w:type="dxa"/>
            <w:tcBorders/>
            <w:vAlign w:val="center"/>
          </w:tcPr>
          <w:p w14:paraId="219A9AD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公网或专线</w:t>
            </w:r>
          </w:p>
        </w:tc>
        <w:tc>
          <w:tcPr>
            <w:tcW w:w="2835" w:type="dxa"/>
            <w:tcBorders/>
            <w:vAlign w:val="center"/>
          </w:tcPr>
          <w:p w14:paraId="03F98BE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MQTTS 设备接入</w:t>
            </w:r>
          </w:p>
        </w:tc>
        <w:tc>
          <w:tcPr>
            <w:tcW w:w="3118" w:type="dxa"/>
            <w:tcBorders/>
            <w:vAlign w:val="center"/>
          </w:tcPr>
          <w:p w14:paraId="60144DA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设备证书/Token 鉴权；限制 MQTT ACL。</w:t>
            </w:r>
          </w:p>
        </w:tc>
      </w:tr>
      <w:tr w14:paraId="94FCB5B2">
        <w:tblPrEx/>
        <w:trPr>
          <w:cantSplit/>
          <w:jc w:val="center"/>
        </w:trPr>
        <w:tc>
          <w:tcPr>
            <w:tcW w:w="1417" w:type="dxa"/>
            <w:tcBorders/>
            <w:vAlign w:val="center"/>
          </w:tcPr>
          <w:p w14:paraId="069A84F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8084/TCP</w:t>
            </w:r>
          </w:p>
        </w:tc>
        <w:tc>
          <w:tcPr>
            <w:tcW w:w="1701" w:type="dxa"/>
            <w:tcBorders/>
            <w:vAlign w:val="center"/>
          </w:tcPr>
          <w:p w14:paraId="0D9CC19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按需公网</w:t>
            </w:r>
          </w:p>
        </w:tc>
        <w:tc>
          <w:tcPr>
            <w:tcW w:w="2835" w:type="dxa"/>
            <w:tcBorders/>
            <w:vAlign w:val="center"/>
          </w:tcPr>
          <w:p w14:paraId="01B633A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MQTT over WSS</w:t>
            </w:r>
          </w:p>
        </w:tc>
        <w:tc>
          <w:tcPr>
            <w:tcW w:w="3118" w:type="dxa"/>
            <w:tcBorders/>
            <w:vAlign w:val="center"/>
          </w:tcPr>
          <w:p w14:paraId="C268265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如果小程序或调试工具需要直连 MQTT。</w:t>
            </w:r>
          </w:p>
        </w:tc>
      </w:tr>
      <w:tr w14:paraId="B7334ADD">
        <w:tblPrEx/>
        <w:trPr>
          <w:cantSplit/>
          <w:jc w:val="center"/>
        </w:trPr>
        <w:tc>
          <w:tcPr>
            <w:tcW w:w="1417" w:type="dxa"/>
            <w:tcBorders/>
            <w:vAlign w:val="center"/>
          </w:tcPr>
          <w:p w14:paraId="A09DE7C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22/TCP</w:t>
            </w:r>
          </w:p>
        </w:tc>
        <w:tc>
          <w:tcPr>
            <w:tcW w:w="1701" w:type="dxa"/>
            <w:tcBorders/>
            <w:vAlign w:val="center"/>
          </w:tcPr>
          <w:p w14:paraId="FDBD85D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运维 IP</w:t>
            </w:r>
          </w:p>
        </w:tc>
        <w:tc>
          <w:tcPr>
            <w:tcW w:w="2835" w:type="dxa"/>
            <w:tcBorders/>
            <w:vAlign w:val="center"/>
          </w:tcPr>
          <w:p w14:paraId="7D3B719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SSH 管理</w:t>
            </w:r>
          </w:p>
        </w:tc>
        <w:tc>
          <w:tcPr>
            <w:tcW w:w="3118" w:type="dxa"/>
            <w:tcBorders/>
            <w:vAlign w:val="center"/>
          </w:tcPr>
          <w:p w14:paraId="9800001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仅堡垒机或固定 IP；禁止全网开放。</w:t>
            </w:r>
          </w:p>
        </w:tc>
      </w:tr>
      <w:tr w14:paraId="FA89AF91">
        <w:tblPrEx/>
        <w:trPr>
          <w:cantSplit/>
          <w:jc w:val="center"/>
        </w:trPr>
        <w:tc>
          <w:tcPr>
            <w:tcW w:w="1417" w:type="dxa"/>
            <w:tcBorders/>
            <w:vAlign w:val="center"/>
          </w:tcPr>
          <w:p w14:paraId="BC0691F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27017/TCP</w:t>
            </w:r>
          </w:p>
        </w:tc>
        <w:tc>
          <w:tcPr>
            <w:tcW w:w="1701" w:type="dxa"/>
            <w:tcBorders/>
            <w:vAlign w:val="center"/>
          </w:tcPr>
          <w:p w14:paraId="60B99A9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内网</w:t>
            </w:r>
          </w:p>
        </w:tc>
        <w:tc>
          <w:tcPr>
            <w:tcW w:w="2835" w:type="dxa"/>
            <w:tcBorders/>
            <w:vAlign w:val="center"/>
          </w:tcPr>
          <w:p w14:paraId="B1AB2F3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MongoDB</w:t>
            </w:r>
          </w:p>
        </w:tc>
        <w:tc>
          <w:tcPr>
            <w:tcW w:w="3118" w:type="dxa"/>
            <w:tcBorders/>
            <w:vAlign w:val="center"/>
          </w:tcPr>
          <w:p w14:paraId="DCA81E0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仅 API/AI 服务访问。</w:t>
            </w:r>
          </w:p>
        </w:tc>
      </w:tr>
      <w:tr w14:paraId="485FF06D">
        <w:tblPrEx/>
        <w:trPr>
          <w:cantSplit/>
          <w:jc w:val="center"/>
        </w:trPr>
        <w:tc>
          <w:tcPr>
            <w:tcW w:w="1417" w:type="dxa"/>
            <w:tcBorders/>
            <w:vAlign w:val="center"/>
          </w:tcPr>
          <w:p w14:paraId="B0B0849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6379/TCP</w:t>
            </w:r>
          </w:p>
        </w:tc>
        <w:tc>
          <w:tcPr>
            <w:tcW w:w="1701" w:type="dxa"/>
            <w:tcBorders/>
            <w:vAlign w:val="center"/>
          </w:tcPr>
          <w:p w14:paraId="03C48EE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内网</w:t>
            </w:r>
          </w:p>
        </w:tc>
        <w:tc>
          <w:tcPr>
            <w:tcW w:w="2835" w:type="dxa"/>
            <w:tcBorders/>
            <w:vAlign w:val="center"/>
          </w:tcPr>
          <w:p w14:paraId="FDE8BF1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Redis</w:t>
            </w:r>
          </w:p>
        </w:tc>
        <w:tc>
          <w:tcPr>
            <w:tcW w:w="3118" w:type="dxa"/>
            <w:tcBorders/>
            <w:vAlign w:val="center"/>
          </w:tcPr>
          <w:p w14:paraId="E089671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仅 API/AI/Worker 访问。</w:t>
            </w:r>
          </w:p>
        </w:tc>
      </w:tr>
      <w:tr w14:paraId="99634C8B">
        <w:tblPrEx/>
        <w:trPr>
          <w:cantSplit/>
          <w:jc w:val="center"/>
        </w:trPr>
        <w:tc>
          <w:tcPr>
            <w:tcW w:w="1417" w:type="dxa"/>
            <w:tcBorders/>
            <w:vAlign w:val="center"/>
          </w:tcPr>
          <w:p w14:paraId="520BAD2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18083/TCP</w:t>
            </w:r>
          </w:p>
        </w:tc>
        <w:tc>
          <w:tcPr>
            <w:tcW w:w="1701" w:type="dxa"/>
            <w:tcBorders/>
            <w:vAlign w:val="center"/>
          </w:tcPr>
          <w:p w14:paraId="C869E58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运维 IP</w:t>
            </w:r>
          </w:p>
        </w:tc>
        <w:tc>
          <w:tcPr>
            <w:tcW w:w="2835" w:type="dxa"/>
            <w:tcBorders/>
            <w:vAlign w:val="center"/>
          </w:tcPr>
          <w:p w14:paraId="0675B7A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EMQX Dashboard</w:t>
            </w:r>
          </w:p>
        </w:tc>
        <w:tc>
          <w:tcPr>
            <w:tcW w:w="3118" w:type="dxa"/>
            <w:tcBorders/>
            <w:vAlign w:val="center"/>
          </w:tcPr>
          <w:p w14:paraId="BD1DBDD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启用强密码/MFA/IP 白名单。</w:t>
            </w:r>
          </w:p>
        </w:tc>
      </w:tr>
    </w:tbl>
    <w:p w14:paraId="056D0C29">
      <w:pPr>
        <w:pStyle w:val="style0"/>
        <w:rPr/>
      </w:pPr>
    </w:p>
    <w:p w14:paraId="C8522F5D">
      <w:pPr>
        <w:pStyle w:val="style1"/>
        <w:rPr/>
      </w:pPr>
      <w:r>
        <w:t>4. 第三方账号与密钥清单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1814"/>
        <w:gridCol w:w="2835"/>
        <w:gridCol w:w="1701"/>
        <w:gridCol w:w="2721"/>
      </w:tblGrid>
      <w:tr w14:paraId="6790F8EC">
        <w:trPr>
          <w:cantSplit/>
          <w:tblHeader/>
          <w:jc w:val="center"/>
        </w:trPr>
        <w:tc>
          <w:tcPr>
            <w:tcW w:w="1814" w:type="dxa"/>
            <w:tcBorders/>
            <w:shd w:val="nil" w:color="auto" w:fill="134e4a"/>
            <w:vAlign w:val="center"/>
          </w:tcPr>
          <w:p w14:paraId="1D97CD95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账号/服务</w:t>
            </w:r>
          </w:p>
        </w:tc>
        <w:tc>
          <w:tcPr>
            <w:tcW w:w="2835" w:type="dxa"/>
            <w:tcBorders/>
            <w:shd w:val="nil" w:color="auto" w:fill="134e4a"/>
            <w:vAlign w:val="center"/>
          </w:tcPr>
          <w:p w14:paraId="21705941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需准备内容</w:t>
            </w:r>
          </w:p>
        </w:tc>
        <w:tc>
          <w:tcPr>
            <w:tcW w:w="1701" w:type="dxa"/>
            <w:tcBorders/>
            <w:shd w:val="nil" w:color="auto" w:fill="134e4a"/>
            <w:vAlign w:val="center"/>
          </w:tcPr>
          <w:p w14:paraId="FB860889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准备方</w:t>
            </w:r>
          </w:p>
        </w:tc>
        <w:tc>
          <w:tcPr>
            <w:tcW w:w="2721" w:type="dxa"/>
            <w:tcBorders/>
            <w:shd w:val="nil" w:color="auto" w:fill="134e4a"/>
            <w:vAlign w:val="center"/>
          </w:tcPr>
          <w:p w14:paraId="9BC54EC8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用途/备注</w:t>
            </w:r>
          </w:p>
        </w:tc>
      </w:tr>
      <w:tr w14:paraId="9168B744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B7E432F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微信小程序账号</w:t>
            </w:r>
          </w:p>
        </w:tc>
        <w:tc>
          <w:tcPr>
            <w:tcW w:w="2835" w:type="dxa"/>
            <w:tcBorders/>
            <w:vAlign w:val="center"/>
          </w:tcPr>
          <w:p w14:paraId="853754D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AppID、AppSecret、开发者权限、体验版/正式版发布权限</w:t>
            </w:r>
          </w:p>
        </w:tc>
        <w:tc>
          <w:tcPr>
            <w:tcW w:w="1701" w:type="dxa"/>
            <w:tcBorders/>
            <w:vAlign w:val="center"/>
          </w:tcPr>
          <w:p w14:paraId="D65C9BA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甲方</w:t>
            </w:r>
          </w:p>
        </w:tc>
        <w:tc>
          <w:tcPr>
            <w:tcW w:w="2721" w:type="dxa"/>
            <w:tcBorders/>
            <w:vAlign w:val="center"/>
          </w:tcPr>
          <w:p w14:paraId="A198EC5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用于微信登录、真机调试、合法域名配置。</w:t>
            </w:r>
          </w:p>
        </w:tc>
      </w:tr>
      <w:tr w14:paraId="1BEB2EB7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70FC319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微信支付商户号</w:t>
            </w:r>
          </w:p>
        </w:tc>
        <w:tc>
          <w:tcPr>
            <w:tcW w:w="2835" w:type="dxa"/>
            <w:tcBorders/>
            <w:vAlign w:val="center"/>
          </w:tcPr>
          <w:p w14:paraId="6B24C86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mchId、APIv3 Key、商户证书、支付回调配置</w:t>
            </w:r>
          </w:p>
        </w:tc>
        <w:tc>
          <w:tcPr>
            <w:tcW w:w="1701" w:type="dxa"/>
            <w:tcBorders/>
            <w:vAlign w:val="center"/>
          </w:tcPr>
          <w:p w14:paraId="648B096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甲方</w:t>
            </w:r>
          </w:p>
        </w:tc>
        <w:tc>
          <w:tcPr>
            <w:tcW w:w="2721" w:type="dxa"/>
            <w:tcBorders/>
            <w:vAlign w:val="center"/>
          </w:tcPr>
          <w:p w14:paraId="A3B7D23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订阅购买、升级、续费、退款。若暂不收费可后置。</w:t>
            </w:r>
          </w:p>
        </w:tc>
      </w:tr>
      <w:tr w14:paraId="849540A4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D823C92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腾讯云账号</w:t>
            </w:r>
          </w:p>
        </w:tc>
        <w:tc>
          <w:tcPr>
            <w:tcW w:w="2835" w:type="dxa"/>
            <w:tcBorders/>
            <w:vAlign w:val="center"/>
          </w:tcPr>
          <w:p w14:paraId="FFDA535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CVM/TKE、VPC、CLB/WAF、MongoDB、Redis、COS、CDN、SSL、CLS、云监控权限</w:t>
            </w:r>
          </w:p>
        </w:tc>
        <w:tc>
          <w:tcPr>
            <w:tcW w:w="1701" w:type="dxa"/>
            <w:tcBorders/>
            <w:vAlign w:val="center"/>
          </w:tcPr>
          <w:p w14:paraId="7A0FB65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甲方</w:t>
            </w:r>
          </w:p>
        </w:tc>
        <w:tc>
          <w:tcPr>
            <w:tcW w:w="2721" w:type="dxa"/>
            <w:tcBorders/>
            <w:vAlign w:val="center"/>
          </w:tcPr>
          <w:p w14:paraId="E87B223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建议创建子账号/CAM 角色给乙方最小权限。</w:t>
            </w:r>
          </w:p>
        </w:tc>
      </w:tr>
      <w:tr w14:paraId="AEFBED0A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B8D4091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域名与备案账号</w:t>
            </w:r>
          </w:p>
        </w:tc>
        <w:tc>
          <w:tcPr>
            <w:tcW w:w="2835" w:type="dxa"/>
            <w:tcBorders/>
            <w:vAlign w:val="center"/>
          </w:tcPr>
          <w:p w14:paraId="A8992A4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域名注册商账号、ICP备案主体、DNS 解析权限</w:t>
            </w:r>
          </w:p>
        </w:tc>
        <w:tc>
          <w:tcPr>
            <w:tcW w:w="1701" w:type="dxa"/>
            <w:tcBorders/>
            <w:vAlign w:val="center"/>
          </w:tcPr>
          <w:p w14:paraId="32ABD97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甲方</w:t>
            </w:r>
          </w:p>
        </w:tc>
        <w:tc>
          <w:tcPr>
            <w:tcW w:w="2721" w:type="dxa"/>
            <w:tcBorders/>
            <w:vAlign w:val="center"/>
          </w:tcPr>
          <w:p w14:paraId="186CEAA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中国大陆正式上线通常需备案完成后配置小程序业务域名。</w:t>
            </w:r>
          </w:p>
        </w:tc>
      </w:tr>
      <w:tr w14:paraId="EB37843A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189507E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DeepSeek/大模型账号</w:t>
            </w:r>
          </w:p>
        </w:tc>
        <w:tc>
          <w:tcPr>
            <w:tcW w:w="2835" w:type="dxa"/>
            <w:tcBorders/>
            <w:vAlign w:val="center"/>
          </w:tcPr>
          <w:p w14:paraId="5711DAA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API Key、模型名、额度、账单告警</w:t>
            </w:r>
          </w:p>
        </w:tc>
        <w:tc>
          <w:tcPr>
            <w:tcW w:w="1701" w:type="dxa"/>
            <w:tcBorders/>
            <w:vAlign w:val="center"/>
          </w:tcPr>
          <w:p w14:paraId="5EEABFA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甲方或乙方代开</w:t>
            </w:r>
          </w:p>
        </w:tc>
        <w:tc>
          <w:tcPr>
            <w:tcW w:w="2721" w:type="dxa"/>
            <w:tcBorders/>
            <w:vAlign w:val="center"/>
          </w:tcPr>
          <w:p w14:paraId="722AB1D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成人自由对话；需确认供应商、SLA 和内容安全策略。</w:t>
            </w:r>
          </w:p>
        </w:tc>
      </w:tr>
      <w:tr w14:paraId="8301B664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0D3B1A8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内容审核服务</w:t>
            </w:r>
          </w:p>
        </w:tc>
        <w:tc>
          <w:tcPr>
            <w:tcW w:w="2835" w:type="dxa"/>
            <w:tcBorders/>
            <w:vAlign w:val="center"/>
          </w:tcPr>
          <w:p w14:paraId="14B3572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文本/音频/图片审核接口 Key</w:t>
            </w:r>
          </w:p>
        </w:tc>
        <w:tc>
          <w:tcPr>
            <w:tcW w:w="1701" w:type="dxa"/>
            <w:tcBorders/>
            <w:vAlign w:val="center"/>
          </w:tcPr>
          <w:p w14:paraId="563582C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甲方或乙方代开</w:t>
            </w:r>
          </w:p>
        </w:tc>
        <w:tc>
          <w:tcPr>
            <w:tcW w:w="2721" w:type="dxa"/>
            <w:tcBorders/>
            <w:vAlign w:val="center"/>
          </w:tcPr>
          <w:p w14:paraId="DE03DA2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幼儿内容、跨设备留言、用户上传资源审核。</w:t>
            </w:r>
          </w:p>
        </w:tc>
      </w:tr>
      <w:tr w14:paraId="3B2626B9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7D79F77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EMQX 账号/许可证</w:t>
            </w:r>
          </w:p>
        </w:tc>
        <w:tc>
          <w:tcPr>
            <w:tcW w:w="2835" w:type="dxa"/>
            <w:tcBorders/>
            <w:vAlign w:val="center"/>
          </w:tcPr>
          <w:p w14:paraId="1D74F7C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自建无需云账号；</w:t>
            </w:r>
          </w:p>
        </w:tc>
        <w:tc>
          <w:tcPr>
            <w:tcW w:w="1701" w:type="dxa"/>
            <w:tcBorders/>
            <w:vAlign w:val="center"/>
          </w:tcPr>
          <w:p w14:paraId="FD98A31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甲方/运维</w:t>
            </w:r>
          </w:p>
        </w:tc>
        <w:tc>
          <w:tcPr>
            <w:tcW w:w="2721" w:type="dxa"/>
            <w:tcBorders/>
            <w:vAlign w:val="center"/>
          </w:tcPr>
          <w:p w14:paraId="2F9FBFE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MVP 可自建，规模化后可迁移云托管。</w:t>
            </w:r>
          </w:p>
        </w:tc>
      </w:tr>
      <w:tr w14:paraId="59EE533F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4897A0E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短信/邮件服务</w:t>
            </w:r>
          </w:p>
        </w:tc>
        <w:tc>
          <w:tcPr>
            <w:tcW w:w="2835" w:type="dxa"/>
            <w:tcBorders/>
            <w:vAlign w:val="center"/>
          </w:tcPr>
          <w:p w14:paraId="CFF96ED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短信签名、模板、AccessKey；邮件 SMTP/API Key</w:t>
            </w:r>
          </w:p>
        </w:tc>
        <w:tc>
          <w:tcPr>
            <w:tcW w:w="1701" w:type="dxa"/>
            <w:tcBorders/>
            <w:vAlign w:val="center"/>
          </w:tcPr>
          <w:p w14:paraId="717A04C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甲方</w:t>
            </w:r>
          </w:p>
        </w:tc>
        <w:tc>
          <w:tcPr>
            <w:tcW w:w="2721" w:type="dxa"/>
            <w:tcBorders/>
            <w:vAlign w:val="center"/>
          </w:tcPr>
          <w:p w14:paraId="6EA2900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验证码、告警、运营通知可选。</w:t>
            </w:r>
          </w:p>
        </w:tc>
      </w:tr>
      <w:tr w14:paraId="AB142602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617F368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代码仓库与 CI/CD</w:t>
            </w:r>
          </w:p>
        </w:tc>
        <w:tc>
          <w:tcPr>
            <w:tcW w:w="2835" w:type="dxa"/>
            <w:tcBorders/>
            <w:vAlign w:val="center"/>
          </w:tcPr>
          <w:p w14:paraId="EA7AB9D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Git 仓库、分支权限、镜像仓库、部署密钥</w:t>
            </w:r>
          </w:p>
        </w:tc>
        <w:tc>
          <w:tcPr>
            <w:tcW w:w="1701" w:type="dxa"/>
            <w:tcBorders/>
            <w:vAlign w:val="center"/>
          </w:tcPr>
          <w:p w14:paraId="552D76A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甲乙双方</w:t>
            </w:r>
          </w:p>
        </w:tc>
        <w:tc>
          <w:tcPr>
            <w:tcW w:w="2721" w:type="dxa"/>
            <w:tcBorders/>
            <w:vAlign w:val="center"/>
          </w:tcPr>
          <w:p w14:paraId="005B8E1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支撑持续交付和版本可追溯。</w:t>
            </w:r>
          </w:p>
        </w:tc>
      </w:tr>
      <w:tr w14:paraId="872C3DE1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E81F317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监控告警账号</w:t>
            </w:r>
          </w:p>
        </w:tc>
        <w:tc>
          <w:tcPr>
            <w:tcW w:w="2835" w:type="dxa"/>
            <w:tcBorders/>
            <w:vAlign w:val="center"/>
          </w:tcPr>
          <w:p w14:paraId="81A0C0D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Sentry/云监控/企业微信机器人 Webhook</w:t>
            </w:r>
          </w:p>
        </w:tc>
        <w:tc>
          <w:tcPr>
            <w:tcW w:w="1701" w:type="dxa"/>
            <w:tcBorders/>
            <w:vAlign w:val="center"/>
          </w:tcPr>
          <w:p w14:paraId="CB24616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甲方/运维</w:t>
            </w:r>
          </w:p>
        </w:tc>
        <w:tc>
          <w:tcPr>
            <w:tcW w:w="2721" w:type="dxa"/>
            <w:tcBorders/>
            <w:vAlign w:val="center"/>
          </w:tcPr>
          <w:p w14:paraId="C40A637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上线后错误、延迟、设备离线率告警。</w:t>
            </w:r>
          </w:p>
        </w:tc>
      </w:tr>
    </w:tbl>
    <w:p w14:paraId="57598547">
      <w:pPr>
        <w:pStyle w:val="style0"/>
        <w:rPr/>
      </w:pPr>
    </w:p>
    <w:p w14:paraId="A293A861">
      <w:pPr>
        <w:pStyle w:val="style1"/>
        <w:rPr/>
      </w:pPr>
      <w:r>
        <w:t>5. 环境变量与密钥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2835"/>
        <w:gridCol w:w="2835"/>
        <w:gridCol w:w="3402"/>
      </w:tblGrid>
      <w:tr w14:paraId="A3451FF5">
        <w:trPr>
          <w:cantSplit/>
          <w:tblHeader/>
          <w:jc w:val="center"/>
        </w:trPr>
        <w:tc>
          <w:tcPr>
            <w:tcW w:w="2835" w:type="dxa"/>
            <w:tcBorders/>
            <w:shd w:val="nil" w:color="auto" w:fill="134e4a"/>
            <w:vAlign w:val="center"/>
          </w:tcPr>
          <w:p w14:paraId="F9CA0264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变量</w:t>
            </w:r>
          </w:p>
        </w:tc>
        <w:tc>
          <w:tcPr>
            <w:tcW w:w="2835" w:type="dxa"/>
            <w:tcBorders/>
            <w:shd w:val="nil" w:color="auto" w:fill="134e4a"/>
            <w:vAlign w:val="center"/>
          </w:tcPr>
          <w:p w14:paraId="2FB8193E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示例</w:t>
            </w:r>
          </w:p>
        </w:tc>
        <w:tc>
          <w:tcPr>
            <w:tcW w:w="3402" w:type="dxa"/>
            <w:tcBorders/>
            <w:shd w:val="nil" w:color="auto" w:fill="134e4a"/>
            <w:vAlign w:val="center"/>
          </w:tcPr>
          <w:p w14:paraId="ECE5FCF8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说明</w:t>
            </w:r>
          </w:p>
        </w:tc>
      </w:tr>
      <w:tr w14:paraId="999D5F92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6A57ED2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APP_ENV</w:t>
            </w:r>
          </w:p>
        </w:tc>
        <w:tc>
          <w:tcPr>
            <w:tcW w:w="2835" w:type="dxa"/>
            <w:tcBorders/>
            <w:vAlign w:val="center"/>
          </w:tcPr>
          <w:p w14:paraId="C84D2C4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dev/test/prod</w:t>
            </w:r>
          </w:p>
        </w:tc>
        <w:tc>
          <w:tcPr>
            <w:tcW w:w="3402" w:type="dxa"/>
            <w:tcBorders/>
            <w:vAlign w:val="center"/>
          </w:tcPr>
          <w:p w14:paraId="A887B88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运行环境标识。</w:t>
            </w:r>
          </w:p>
        </w:tc>
      </w:tr>
      <w:tr w14:paraId="FE8A4C27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4AD0CC8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APP_BASE_URL</w:t>
            </w:r>
          </w:p>
        </w:tc>
        <w:tc>
          <w:tcPr>
            <w:tcW w:w="2835" w:type="dxa"/>
            <w:tcBorders/>
            <w:vAlign w:val="center"/>
          </w:tcPr>
          <w:p w14:paraId="4AB2FD2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https://api.qingxier.com</w:t>
            </w:r>
          </w:p>
        </w:tc>
        <w:tc>
          <w:tcPr>
            <w:tcW w:w="3402" w:type="dxa"/>
            <w:tcBorders/>
            <w:vAlign w:val="center"/>
          </w:tcPr>
          <w:p w14:paraId="989C14F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API 对外地址。</w:t>
            </w:r>
          </w:p>
        </w:tc>
      </w:tr>
      <w:tr w14:paraId="48B872FB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F9AC2E1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JWT_SECRET / REFRESH_SECRET</w:t>
            </w:r>
          </w:p>
        </w:tc>
        <w:tc>
          <w:tcPr>
            <w:tcW w:w="2835" w:type="dxa"/>
            <w:tcBorders/>
            <w:vAlign w:val="center"/>
          </w:tcPr>
          <w:p w14:paraId="265D9BE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随机强密钥</w:t>
            </w:r>
          </w:p>
        </w:tc>
        <w:tc>
          <w:tcPr>
            <w:tcW w:w="3402" w:type="dxa"/>
            <w:tcBorders/>
            <w:vAlign w:val="center"/>
          </w:tcPr>
          <w:p w14:paraId="1D44F79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用户 Token 签发。</w:t>
            </w:r>
          </w:p>
        </w:tc>
      </w:tr>
      <w:tr w14:paraId="CE314020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F1709D1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MONGO_URI</w:t>
            </w:r>
          </w:p>
        </w:tc>
        <w:tc>
          <w:tcPr>
            <w:tcW w:w="2835" w:type="dxa"/>
            <w:tcBorders/>
            <w:vAlign w:val="center"/>
          </w:tcPr>
          <w:p w14:paraId="F6F92B9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mongodb://...</w:t>
            </w:r>
          </w:p>
        </w:tc>
        <w:tc>
          <w:tcPr>
            <w:tcW w:w="3402" w:type="dxa"/>
            <w:tcBorders/>
            <w:vAlign w:val="center"/>
          </w:tcPr>
          <w:p w14:paraId="8BE9E9C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MongoDB 连接串；生产需内网地址。</w:t>
            </w:r>
          </w:p>
        </w:tc>
      </w:tr>
      <w:tr w14:paraId="405012D8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CEF6F1C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REDIS_URL</w:t>
            </w:r>
          </w:p>
        </w:tc>
        <w:tc>
          <w:tcPr>
            <w:tcW w:w="2835" w:type="dxa"/>
            <w:tcBorders/>
            <w:vAlign w:val="center"/>
          </w:tcPr>
          <w:p w14:paraId="B1B3B7B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redis://...</w:t>
            </w:r>
          </w:p>
        </w:tc>
        <w:tc>
          <w:tcPr>
            <w:tcW w:w="3402" w:type="dxa"/>
            <w:tcBorders/>
            <w:vAlign w:val="center"/>
          </w:tcPr>
          <w:p w14:paraId="61AA068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Redis 连接串。</w:t>
            </w:r>
          </w:p>
        </w:tc>
      </w:tr>
      <w:tr w14:paraId="8C1973CA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8EB6BBC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MQTT_BROKER_URL</w:t>
            </w:r>
          </w:p>
        </w:tc>
        <w:tc>
          <w:tcPr>
            <w:tcW w:w="2835" w:type="dxa"/>
            <w:tcBorders/>
            <w:vAlign w:val="center"/>
          </w:tcPr>
          <w:p w14:paraId="233B45E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mqtts://mqtt.qingxier.com:8883</w:t>
            </w:r>
          </w:p>
        </w:tc>
        <w:tc>
          <w:tcPr>
            <w:tcW w:w="3402" w:type="dxa"/>
            <w:tcBorders/>
            <w:vAlign w:val="center"/>
          </w:tcPr>
          <w:p w14:paraId="946DCB3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EMQX 接入地址。</w:t>
            </w:r>
          </w:p>
        </w:tc>
      </w:tr>
      <w:tr w14:paraId="9E5E8D74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D75C907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MQTT_ADMIN_TOKEN</w:t>
            </w:r>
          </w:p>
        </w:tc>
        <w:tc>
          <w:tcPr>
            <w:tcW w:w="2835" w:type="dxa"/>
            <w:tcBorders/>
            <w:vAlign w:val="center"/>
          </w:tcPr>
          <w:p w14:paraId="443F955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***</w:t>
            </w:r>
          </w:p>
        </w:tc>
        <w:tc>
          <w:tcPr>
            <w:tcW w:w="3402" w:type="dxa"/>
            <w:tcBorders/>
            <w:vAlign w:val="center"/>
          </w:tcPr>
          <w:p w14:paraId="E52A15A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后端创建 ACL/查询状态使用。</w:t>
            </w:r>
          </w:p>
        </w:tc>
      </w:tr>
      <w:tr w14:paraId="5A3B8620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879B4AE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COS_BUCKET / COS_SECRET_ID / COS_SECRET_KEY</w:t>
            </w:r>
          </w:p>
        </w:tc>
        <w:tc>
          <w:tcPr>
            <w:tcW w:w="2835" w:type="dxa"/>
            <w:tcBorders/>
            <w:vAlign w:val="center"/>
          </w:tcPr>
          <w:p w14:paraId="3F3BAA9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***</w:t>
            </w:r>
          </w:p>
        </w:tc>
        <w:tc>
          <w:tcPr>
            <w:tcW w:w="3402" w:type="dxa"/>
            <w:tcBorders/>
            <w:vAlign w:val="center"/>
          </w:tcPr>
          <w:p w14:paraId="CDEB149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资源上传下载和签名 URL。</w:t>
            </w:r>
          </w:p>
        </w:tc>
      </w:tr>
      <w:tr w14:paraId="77477536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9C20C01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WECHAT_APP_ID / WECHAT_APP_SECRET</w:t>
            </w:r>
          </w:p>
        </w:tc>
        <w:tc>
          <w:tcPr>
            <w:tcW w:w="2835" w:type="dxa"/>
            <w:tcBorders/>
            <w:vAlign w:val="center"/>
          </w:tcPr>
          <w:p w14:paraId="B7501B5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***</w:t>
            </w:r>
          </w:p>
        </w:tc>
        <w:tc>
          <w:tcPr>
            <w:tcW w:w="3402" w:type="dxa"/>
            <w:tcBorders/>
            <w:vAlign w:val="center"/>
          </w:tcPr>
          <w:p w14:paraId="1D7E207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小程序登录和服务端接口调用。</w:t>
            </w:r>
          </w:p>
        </w:tc>
      </w:tr>
      <w:tr w14:paraId="98E70EA1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0D3AC2D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WECHAT_PAY_MCH_ID / API_V3_KEY / CERT_PATH</w:t>
            </w:r>
          </w:p>
        </w:tc>
        <w:tc>
          <w:tcPr>
            <w:tcW w:w="2835" w:type="dxa"/>
            <w:tcBorders/>
            <w:vAlign w:val="center"/>
          </w:tcPr>
          <w:p w14:paraId="4CA4DED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***</w:t>
            </w:r>
          </w:p>
        </w:tc>
        <w:tc>
          <w:tcPr>
            <w:tcW w:w="3402" w:type="dxa"/>
            <w:tcBorders/>
            <w:vAlign w:val="center"/>
          </w:tcPr>
          <w:p w14:paraId="7C6C35B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订阅支付。</w:t>
            </w:r>
          </w:p>
        </w:tc>
      </w:tr>
      <w:tr w14:paraId="D14FB336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6A2BA91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LLM_API_KEY / LLM_BASE_URL</w:t>
            </w:r>
          </w:p>
        </w:tc>
        <w:tc>
          <w:tcPr>
            <w:tcW w:w="2835" w:type="dxa"/>
            <w:tcBorders/>
            <w:vAlign w:val="center"/>
          </w:tcPr>
          <w:p w14:paraId="5CF0489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***</w:t>
            </w:r>
          </w:p>
        </w:tc>
        <w:tc>
          <w:tcPr>
            <w:tcW w:w="3402" w:type="dxa"/>
            <w:tcBorders/>
            <w:vAlign w:val="center"/>
          </w:tcPr>
          <w:p w14:paraId="15817DA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DeepSeek/大模型调用。</w:t>
            </w:r>
          </w:p>
        </w:tc>
      </w:tr>
      <w:tr w14:paraId="5BA4E744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1A56245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ASR_API_KEY / TTS_API_KEY / VOICE_CLONE_KEY</w:t>
            </w:r>
          </w:p>
        </w:tc>
        <w:tc>
          <w:tcPr>
            <w:tcW w:w="2835" w:type="dxa"/>
            <w:tcBorders/>
            <w:vAlign w:val="center"/>
          </w:tcPr>
          <w:p w14:paraId="2A131C0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***</w:t>
            </w:r>
          </w:p>
        </w:tc>
        <w:tc>
          <w:tcPr>
            <w:tcW w:w="3402" w:type="dxa"/>
            <w:tcBorders/>
            <w:vAlign w:val="center"/>
          </w:tcPr>
          <w:p w14:paraId="F14A9B6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语音识别、合成、克隆。</w:t>
            </w:r>
          </w:p>
        </w:tc>
      </w:tr>
      <w:tr w14:paraId="95878329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305E2AA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CONTENT_AUDIT_KEY</w:t>
            </w:r>
          </w:p>
        </w:tc>
        <w:tc>
          <w:tcPr>
            <w:tcW w:w="2835" w:type="dxa"/>
            <w:tcBorders/>
            <w:vAlign w:val="center"/>
          </w:tcPr>
          <w:p w14:paraId="4BF3D9F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***</w:t>
            </w:r>
          </w:p>
        </w:tc>
        <w:tc>
          <w:tcPr>
            <w:tcW w:w="3402" w:type="dxa"/>
            <w:tcBorders/>
            <w:vAlign w:val="center"/>
          </w:tcPr>
          <w:p w14:paraId="E6FB007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内容安全审核。</w:t>
            </w:r>
          </w:p>
        </w:tc>
      </w:tr>
      <w:tr w14:paraId="46B77C9C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9277175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SENTRY_DSN / LOG_LEVEL</w:t>
            </w:r>
          </w:p>
        </w:tc>
        <w:tc>
          <w:tcPr>
            <w:tcW w:w="2835" w:type="dxa"/>
            <w:tcBorders/>
            <w:vAlign w:val="center"/>
          </w:tcPr>
          <w:p w14:paraId="550DFA7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***</w:t>
            </w:r>
          </w:p>
        </w:tc>
        <w:tc>
          <w:tcPr>
            <w:tcW w:w="3402" w:type="dxa"/>
            <w:tcBorders/>
            <w:vAlign w:val="center"/>
          </w:tcPr>
          <w:p w14:paraId="82CCE5F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错误追踪与日志级别。</w:t>
            </w:r>
          </w:p>
        </w:tc>
      </w:tr>
    </w:tbl>
    <w:p w14:paraId="5400C47A">
      <w:pPr>
        <w:pStyle w:val="style0"/>
        <w:rPr/>
      </w:pPr>
    </w:p>
    <w:tbl>
      <w:tblPr>
        <w:tblStyle w:val="style154"/>
        <w:tblW w:w="0" w:type="auto"/>
        <w:jc w:val="center"/>
        <w:tblBorders>
          <w:top w:val="single" w:sz="6" w:space="0" w:color="99f6e4"/>
          <w:left w:val="single" w:sz="6" w:space="0" w:color="99f6e4"/>
          <w:bottom w:val="single" w:sz="6" w:space="0" w:color="99f6e4"/>
          <w:right w:val="single" w:sz="6" w:space="0" w:color="99f6e4"/>
          <w:insideH w:val="single" w:sz="6" w:space="0" w:color="99f6e4"/>
          <w:insideV w:val="single" w:sz="6" w:space="0" w:color="99f6e4"/>
        </w:tblBorders>
        <w:tblLook w:val="04A0" w:firstRow="1" w:lastRow="0" w:firstColumn="1" w:lastColumn="0" w:noHBand="0" w:noVBand="1"/>
      </w:tblPr>
      <w:tblGrid>
        <w:gridCol w:w="9972"/>
      </w:tblGrid>
      <w:tr w14:paraId="B58F244A">
        <w:trPr>
          <w:jc w:val="center"/>
        </w:trPr>
        <w:tc>
          <w:tcPr>
            <w:tcW w:w="9972" w:type="dxa"/>
            <w:tcBorders/>
            <w:shd w:val="nil" w:color="auto" w:fill="f0fdfa"/>
          </w:tcPr>
          <w:p w14:paraId="7EB89520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color w:val="134e4a"/>
                <w:sz w:val="18"/>
              </w:rPr>
              <w:t>密钥管理：</w:t>
            </w:r>
            <w:r>
              <w:rPr>
                <w:rFonts w:ascii="Noto Sans CJK SC" w:eastAsia="Noto Sans CJK SC" w:hAnsi="Noto Sans CJK SC"/>
                <w:b w:val="false"/>
                <w:color w:val="111827"/>
                <w:sz w:val="18"/>
              </w:rPr>
              <w:t>生产密钥不得写入代码仓库或小程序端；建议使用云密钥管理或 CI/CD Secret。给乙方临时权限时应设置最小权限和到期回收。</w:t>
            </w:r>
          </w:p>
        </w:tc>
      </w:tr>
    </w:tbl>
    <w:p w14:paraId="FAC0E22F">
      <w:pPr>
        <w:pStyle w:val="style0"/>
        <w:rPr/>
      </w:pPr>
    </w:p>
    <w:p w14:paraId="8A5CEC19">
      <w:pPr>
        <w:pStyle w:val="style1"/>
        <w:rPr/>
      </w:pPr>
      <w:r>
        <w:t>6. 部署步骤</w:t>
      </w:r>
    </w:p>
    <w:p w14:paraId="1A7FDC54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1. 完成主域名备案、DNS 解析、SSL 证书申请，并配置 API/voice/mqtt/admin/cdn/upload 子域名。</w:t>
      </w:r>
    </w:p>
    <w:p w14:paraId="8D52A349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2. 创建 VPC、子网、安全组、负载均衡/WAF，按端口清单开放访问。</w:t>
      </w:r>
    </w:p>
    <w:p w14:paraId="95D9D620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3. 创建 MongoDB、Redis、COS Bucket、CDN 加速域名和日志/监控资源。</w:t>
      </w:r>
    </w:p>
    <w:p w14:paraId="DC199740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4. 部署 EMQX，配置 TLS、认证、ACL、遗嘱消息、系统事件 Webhook 和监控。</w:t>
      </w:r>
    </w:p>
    <w:p w14:paraId="2E6700B3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5. 部署 API/BFF、AI/语音网关、Worker/调度服务，导入环境变量并执行数据库初始化脚本。</w:t>
      </w:r>
    </w:p>
    <w:p w14:paraId="45E96374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6. 配置微信小程序合法域名、AppID/AppSecret、支付回调和订阅消息模板。</w:t>
      </w:r>
    </w:p>
    <w:p w14:paraId="CB0FAD90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7. 上传首版固件、表情包、幼儿内容库到 COS，创建 OTA 包记录。</w:t>
      </w:r>
    </w:p>
    <w:p w14:paraId="4E0EAAB1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8. 设备烧录生产固件，写入 SN/deviceSecret，完成 BLE 配网、MQTT/WSS 接入联调。</w:t>
      </w:r>
    </w:p>
    <w:p w14:paraId="0A21A6FA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9. 执行接口自动化测试、MQTT Topic 测试、语音链路测试、OTA 回滚测试和 72 小时长稳测试。</w:t>
      </w:r>
    </w:p>
    <w:p w14:paraId="5088FC5E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10. 验收通过后切换生产域名和正式小程序版本，开启监控告警和备份策略。</w:t>
      </w:r>
    </w:p>
    <w:p w14:paraId="A5B31788">
      <w:pPr>
        <w:pStyle w:val="style1"/>
        <w:rPr/>
      </w:pPr>
      <w:r>
        <w:t>7. 验收准备清单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1984"/>
        <w:gridCol w:w="3402"/>
        <w:gridCol w:w="3685"/>
      </w:tblGrid>
      <w:tr w14:paraId="0964948E">
        <w:trPr>
          <w:cantSplit/>
          <w:tblHeader/>
          <w:jc w:val="center"/>
        </w:trPr>
        <w:tc>
          <w:tcPr>
            <w:tcW w:w="1984" w:type="dxa"/>
            <w:tcBorders/>
            <w:shd w:val="nil" w:color="auto" w:fill="134e4a"/>
            <w:vAlign w:val="center"/>
          </w:tcPr>
          <w:p w14:paraId="362B60FB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验收项</w:t>
            </w:r>
          </w:p>
        </w:tc>
        <w:tc>
          <w:tcPr>
            <w:tcW w:w="3402" w:type="dxa"/>
            <w:tcBorders/>
            <w:shd w:val="nil" w:color="auto" w:fill="134e4a"/>
            <w:vAlign w:val="center"/>
          </w:tcPr>
          <w:p w14:paraId="BF7CC904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准备内容</w:t>
            </w:r>
          </w:p>
        </w:tc>
        <w:tc>
          <w:tcPr>
            <w:tcW w:w="3685" w:type="dxa"/>
            <w:tcBorders/>
            <w:shd w:val="nil" w:color="auto" w:fill="134e4a"/>
            <w:vAlign w:val="center"/>
          </w:tcPr>
          <w:p w14:paraId="45942700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通过口径</w:t>
            </w:r>
          </w:p>
        </w:tc>
      </w:tr>
      <w:tr w14:paraId="B9A25D12">
        <w:tblPrEx/>
        <w:trPr>
          <w:cantSplit/>
          <w:jc w:val="center"/>
        </w:trPr>
        <w:tc>
          <w:tcPr>
            <w:tcW w:w="1984" w:type="dxa"/>
            <w:tcBorders/>
            <w:vAlign w:val="center"/>
          </w:tcPr>
          <w:p w14:paraId="753B1D5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蓝牙配网</w:t>
            </w:r>
          </w:p>
        </w:tc>
        <w:tc>
          <w:tcPr>
            <w:tcW w:w="3402" w:type="dxa"/>
            <w:tcBorders/>
            <w:vAlign w:val="center"/>
          </w:tcPr>
          <w:p w14:paraId="AEF1096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小程序真机、测试 WiFi、设备 3 台以上</w:t>
            </w:r>
          </w:p>
        </w:tc>
        <w:tc>
          <w:tcPr>
            <w:tcW w:w="3685" w:type="dxa"/>
            <w:tcBorders/>
            <w:vAlign w:val="center"/>
          </w:tcPr>
          <w:p w14:paraId="EB11C08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60 秒内成功，设备语音提示联网成功。</w:t>
            </w:r>
          </w:p>
        </w:tc>
      </w:tr>
      <w:tr w14:paraId="706D9B23">
        <w:tblPrEx/>
        <w:trPr>
          <w:cantSplit/>
          <w:jc w:val="center"/>
        </w:trPr>
        <w:tc>
          <w:tcPr>
            <w:tcW w:w="1984" w:type="dxa"/>
            <w:tcBorders/>
            <w:vAlign w:val="center"/>
          </w:tcPr>
          <w:p w14:paraId="D8D7F7A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设备状态</w:t>
            </w:r>
          </w:p>
        </w:tc>
        <w:tc>
          <w:tcPr>
            <w:tcW w:w="3402" w:type="dxa"/>
            <w:tcBorders/>
            <w:vAlign w:val="center"/>
          </w:tcPr>
          <w:p w14:paraId="03EB4B9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电量、在线、模式、人格、固件版本</w:t>
            </w:r>
          </w:p>
        </w:tc>
        <w:tc>
          <w:tcPr>
            <w:tcW w:w="3685" w:type="dxa"/>
            <w:tcBorders/>
            <w:vAlign w:val="center"/>
          </w:tcPr>
          <w:p w14:paraId="AA82F6B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小程序修改后设备确认，云端刷新。</w:t>
            </w:r>
          </w:p>
        </w:tc>
      </w:tr>
      <w:tr w14:paraId="B1F8D77C">
        <w:tblPrEx/>
        <w:trPr>
          <w:cantSplit/>
          <w:jc w:val="center"/>
        </w:trPr>
        <w:tc>
          <w:tcPr>
            <w:tcW w:w="1984" w:type="dxa"/>
            <w:tcBorders/>
            <w:vAlign w:val="center"/>
          </w:tcPr>
          <w:p w14:paraId="FE6C690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语音 AI</w:t>
            </w:r>
          </w:p>
        </w:tc>
        <w:tc>
          <w:tcPr>
            <w:tcW w:w="3402" w:type="dxa"/>
            <w:tcBorders/>
            <w:vAlign w:val="center"/>
          </w:tcPr>
          <w:p w14:paraId="A567809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安静/背景音场景、成人/幼儿模式、五种人格</w:t>
            </w:r>
          </w:p>
        </w:tc>
        <w:tc>
          <w:tcPr>
            <w:tcW w:w="3685" w:type="dxa"/>
            <w:tcBorders/>
            <w:vAlign w:val="center"/>
          </w:tcPr>
          <w:p w14:paraId="B315586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响应延迟、唤醒成功率、误唤醒率达标。</w:t>
            </w:r>
          </w:p>
        </w:tc>
      </w:tr>
      <w:tr w14:paraId="667B7117">
        <w:tblPrEx/>
        <w:trPr>
          <w:cantSplit/>
          <w:jc w:val="center"/>
        </w:trPr>
        <w:tc>
          <w:tcPr>
            <w:tcW w:w="1984" w:type="dxa"/>
            <w:tcBorders/>
            <w:vAlign w:val="center"/>
          </w:tcPr>
          <w:p w14:paraId="837587D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提醒</w:t>
            </w:r>
          </w:p>
        </w:tc>
        <w:tc>
          <w:tcPr>
            <w:tcW w:w="3402" w:type="dxa"/>
            <w:tcBorders/>
            <w:vAlign w:val="center"/>
          </w:tcPr>
          <w:p w14:paraId="54BF973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喝水/吃药/周期提醒、二次确认、未确认递进</w:t>
            </w:r>
          </w:p>
        </w:tc>
        <w:tc>
          <w:tcPr>
            <w:tcW w:w="3685" w:type="dxa"/>
            <w:tcBorders/>
            <w:vAlign w:val="center"/>
          </w:tcPr>
          <w:p w14:paraId="D15FE60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设备播报、微信通知、完成和解记录完整。</w:t>
            </w:r>
          </w:p>
        </w:tc>
      </w:tr>
      <w:tr w14:paraId="F1B60280">
        <w:tblPrEx/>
        <w:trPr>
          <w:cantSplit/>
          <w:jc w:val="center"/>
        </w:trPr>
        <w:tc>
          <w:tcPr>
            <w:tcW w:w="1984" w:type="dxa"/>
            <w:tcBorders/>
            <w:vAlign w:val="center"/>
          </w:tcPr>
          <w:p w14:paraId="77A4547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跨设备留言</w:t>
            </w:r>
          </w:p>
        </w:tc>
        <w:tc>
          <w:tcPr>
            <w:tcW w:w="3402" w:type="dxa"/>
            <w:tcBorders/>
            <w:vAlign w:val="center"/>
          </w:tcPr>
          <w:p w14:paraId="F58B8ED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两台绑定设备、文字/语音留言、离线/上线补发</w:t>
            </w:r>
          </w:p>
        </w:tc>
        <w:tc>
          <w:tcPr>
            <w:tcW w:w="3685" w:type="dxa"/>
            <w:tcBorders/>
            <w:vAlign w:val="center"/>
          </w:tcPr>
          <w:p w14:paraId="D9B87DC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在线设备 3 秒内提醒，已读回执正确。</w:t>
            </w:r>
          </w:p>
        </w:tc>
      </w:tr>
      <w:tr w14:paraId="1F7EF553">
        <w:tblPrEx/>
        <w:trPr>
          <w:cantSplit/>
          <w:jc w:val="center"/>
        </w:trPr>
        <w:tc>
          <w:tcPr>
            <w:tcW w:w="1984" w:type="dxa"/>
            <w:tcBorders/>
            <w:vAlign w:val="center"/>
          </w:tcPr>
          <w:p w14:paraId="F084B23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自定义内容</w:t>
            </w:r>
          </w:p>
        </w:tc>
        <w:tc>
          <w:tcPr>
            <w:tcW w:w="3402" w:type="dxa"/>
            <w:tcBorders/>
            <w:vAlign w:val="center"/>
          </w:tcPr>
          <w:p w14:paraId="5F6DCA9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问答 50 组、提醒 20 条、故事 ≤5 分钟、超限用例</w:t>
            </w:r>
          </w:p>
        </w:tc>
        <w:tc>
          <w:tcPr>
            <w:tcW w:w="3685" w:type="dxa"/>
            <w:tcBorders/>
            <w:vAlign w:val="center"/>
          </w:tcPr>
          <w:p w14:paraId="172869D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容量限制、优先级、删除后失效达标。</w:t>
            </w:r>
          </w:p>
        </w:tc>
      </w:tr>
      <w:tr w14:paraId="E405CF76">
        <w:tblPrEx/>
        <w:trPr>
          <w:cantSplit/>
          <w:jc w:val="center"/>
        </w:trPr>
        <w:tc>
          <w:tcPr>
            <w:tcW w:w="1984" w:type="dxa"/>
            <w:tcBorders/>
            <w:vAlign w:val="center"/>
          </w:tcPr>
          <w:p w14:paraId="17E3F40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声音克隆</w:t>
            </w:r>
          </w:p>
        </w:tc>
        <w:tc>
          <w:tcPr>
            <w:tcW w:w="3402" w:type="dxa"/>
            <w:tcBorders/>
            <w:vAlign w:val="center"/>
          </w:tcPr>
          <w:p w14:paraId="BC909F3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20-30 秒样本、训练回调、人格绑定、删除</w:t>
            </w:r>
          </w:p>
        </w:tc>
        <w:tc>
          <w:tcPr>
            <w:tcW w:w="3685" w:type="dxa"/>
            <w:tcBorders/>
            <w:vAlign w:val="center"/>
          </w:tcPr>
          <w:p w14:paraId="E296F72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音色应用和数量限制符合套餐。</w:t>
            </w:r>
          </w:p>
        </w:tc>
      </w:tr>
      <w:tr w14:paraId="C0641938">
        <w:tblPrEx/>
        <w:trPr>
          <w:cantSplit/>
          <w:jc w:val="center"/>
        </w:trPr>
        <w:tc>
          <w:tcPr>
            <w:tcW w:w="1984" w:type="dxa"/>
            <w:tcBorders/>
            <w:vAlign w:val="center"/>
          </w:tcPr>
          <w:p w14:paraId="74D386B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OTA</w:t>
            </w:r>
          </w:p>
        </w:tc>
        <w:tc>
          <w:tcPr>
            <w:tcW w:w="3402" w:type="dxa"/>
            <w:tcBorders/>
            <w:vAlign w:val="center"/>
          </w:tcPr>
          <w:p w14:paraId="337E6EA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固件、表情包、幼儿内容库、损坏包回滚</w:t>
            </w:r>
          </w:p>
        </w:tc>
        <w:tc>
          <w:tcPr>
            <w:tcW w:w="3685" w:type="dxa"/>
            <w:tcBorders/>
            <w:vAlign w:val="center"/>
          </w:tcPr>
          <w:p w14:paraId="D4E5010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版本更新、资源可用、失败回滚。</w:t>
            </w:r>
          </w:p>
        </w:tc>
      </w:tr>
      <w:tr w14:paraId="FCB9CEFD">
        <w:tblPrEx/>
        <w:trPr>
          <w:cantSplit/>
          <w:jc w:val="center"/>
        </w:trPr>
        <w:tc>
          <w:tcPr>
            <w:tcW w:w="1984" w:type="dxa"/>
            <w:tcBorders/>
            <w:vAlign w:val="center"/>
          </w:tcPr>
          <w:p w14:paraId="45D0BC6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性能稳定</w:t>
            </w:r>
          </w:p>
        </w:tc>
        <w:tc>
          <w:tcPr>
            <w:tcW w:w="3402" w:type="dxa"/>
            <w:tcBorders/>
            <w:vAlign w:val="center"/>
          </w:tcPr>
          <w:p w14:paraId="7ECA1AE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72 小时运行、1000 条自定义问答压力</w:t>
            </w:r>
          </w:p>
        </w:tc>
        <w:tc>
          <w:tcPr>
            <w:tcW w:w="3685" w:type="dxa"/>
            <w:tcBorders/>
            <w:vAlign w:val="center"/>
          </w:tcPr>
          <w:p w14:paraId="DDC4D38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无死机/泄漏；响应 ≤2 秒。</w:t>
            </w:r>
          </w:p>
        </w:tc>
      </w:tr>
      <w:tr w14:paraId="B80C167C">
        <w:tblPrEx/>
        <w:trPr>
          <w:cantSplit/>
          <w:jc w:val="center"/>
        </w:trPr>
        <w:tc>
          <w:tcPr>
            <w:tcW w:w="1984" w:type="dxa"/>
            <w:tcBorders/>
            <w:vAlign w:val="center"/>
          </w:tcPr>
          <w:p w14:paraId="C17E7BD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安全合规</w:t>
            </w:r>
          </w:p>
        </w:tc>
        <w:tc>
          <w:tcPr>
            <w:tcW w:w="3402" w:type="dxa"/>
            <w:tcBorders/>
            <w:vAlign w:val="center"/>
          </w:tcPr>
          <w:p w14:paraId="81859C8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未成年人数据、声音授权、支付、后台审计</w:t>
            </w:r>
          </w:p>
        </w:tc>
        <w:tc>
          <w:tcPr>
            <w:tcW w:w="3685" w:type="dxa"/>
            <w:tcBorders/>
            <w:vAlign w:val="center"/>
          </w:tcPr>
          <w:p w14:paraId="3FC33A1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授权文案、删除入口、日志和权限检查完成。</w:t>
            </w:r>
          </w:p>
        </w:tc>
      </w:tr>
    </w:tbl>
    <w:p w14:paraId="A2BCB67C">
      <w:pPr>
        <w:pStyle w:val="style0"/>
        <w:rPr/>
      </w:pPr>
    </w:p>
    <w:p w14:paraId="AA11330C">
      <w:pPr>
        <w:pStyle w:val="style1"/>
        <w:rPr/>
      </w:pPr>
      <w:r>
        <w:t>8. 上线风险与确认项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2268"/>
        <w:gridCol w:w="6804"/>
      </w:tblGrid>
      <w:tr w14:paraId="C9552BB5">
        <w:trPr>
          <w:cantSplit/>
          <w:tblHeader/>
          <w:jc w:val="center"/>
        </w:trPr>
        <w:tc>
          <w:tcPr>
            <w:tcW w:w="2268" w:type="dxa"/>
            <w:tcBorders/>
            <w:shd w:val="nil" w:color="auto" w:fill="134e4a"/>
            <w:vAlign w:val="center"/>
          </w:tcPr>
          <w:p w14:paraId="75737799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确认项</w:t>
            </w:r>
          </w:p>
        </w:tc>
        <w:tc>
          <w:tcPr>
            <w:tcW w:w="6804" w:type="dxa"/>
            <w:tcBorders/>
            <w:shd w:val="nil" w:color="auto" w:fill="134e4a"/>
            <w:vAlign w:val="center"/>
          </w:tcPr>
          <w:p w14:paraId="40DD0BE0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说明</w:t>
            </w:r>
          </w:p>
        </w:tc>
      </w:tr>
      <w:tr w14:paraId="7FCF2399">
        <w:tblPrEx/>
        <w:trPr>
          <w:cantSplit/>
          <w:jc w:val="center"/>
        </w:trPr>
        <w:tc>
          <w:tcPr>
            <w:tcW w:w="2268" w:type="dxa"/>
            <w:tcBorders/>
            <w:vAlign w:val="center"/>
          </w:tcPr>
          <w:p w14:paraId="E0C3CAF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BOM 与固件版本</w:t>
            </w:r>
          </w:p>
        </w:tc>
        <w:tc>
          <w:tcPr>
            <w:tcW w:w="6804" w:type="dxa"/>
            <w:tcBorders/>
            <w:vAlign w:val="center"/>
          </w:tcPr>
          <w:p w14:paraId="CF48FAD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确认电池容量、GPIO 复用、硬件版本号、固件版本号和 OTA 兼容矩阵。</w:t>
            </w:r>
          </w:p>
        </w:tc>
      </w:tr>
      <w:tr w14:paraId="3AF67270">
        <w:tblPrEx/>
        <w:trPr>
          <w:cantSplit/>
          <w:jc w:val="center"/>
        </w:trPr>
        <w:tc>
          <w:tcPr>
            <w:tcW w:w="2268" w:type="dxa"/>
            <w:tcBorders/>
            <w:vAlign w:val="center"/>
          </w:tcPr>
          <w:p w14:paraId="5A8FD0B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第三方 SLA</w:t>
            </w:r>
          </w:p>
        </w:tc>
        <w:tc>
          <w:tcPr>
            <w:tcW w:w="6804" w:type="dxa"/>
            <w:tcBorders/>
            <w:vAlign w:val="center"/>
          </w:tcPr>
          <w:p w14:paraId="01495F2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确认 LLM/ASR/TTS/声音克隆的并发、超时、失败重试、账单告警和数据合规。</w:t>
            </w:r>
          </w:p>
        </w:tc>
      </w:tr>
      <w:tr w14:paraId="BB33952B">
        <w:tblPrEx/>
        <w:trPr>
          <w:cantSplit/>
          <w:jc w:val="center"/>
        </w:trPr>
        <w:tc>
          <w:tcPr>
            <w:tcW w:w="2268" w:type="dxa"/>
            <w:tcBorders/>
            <w:vAlign w:val="center"/>
          </w:tcPr>
          <w:p w14:paraId="D44A644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小程序审核</w:t>
            </w:r>
          </w:p>
        </w:tc>
        <w:tc>
          <w:tcPr>
            <w:tcW w:w="6804" w:type="dxa"/>
            <w:tcBorders/>
            <w:vAlign w:val="center"/>
          </w:tcPr>
          <w:p w14:paraId="484700C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功能涉及 AI、儿童内容、付费订阅、声音克隆时，需预留审核周期和补充材料。</w:t>
            </w:r>
          </w:p>
        </w:tc>
      </w:tr>
      <w:tr w14:paraId="3546AA23">
        <w:tblPrEx/>
        <w:trPr>
          <w:cantSplit/>
          <w:jc w:val="center"/>
        </w:trPr>
        <w:tc>
          <w:tcPr>
            <w:tcW w:w="2268" w:type="dxa"/>
            <w:tcBorders/>
            <w:vAlign w:val="center"/>
          </w:tcPr>
          <w:p w14:paraId="0B46A78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数据合规</w:t>
            </w:r>
          </w:p>
        </w:tc>
        <w:tc>
          <w:tcPr>
            <w:tcW w:w="6804" w:type="dxa"/>
            <w:tcBorders/>
            <w:vAlign w:val="center"/>
          </w:tcPr>
          <w:p w14:paraId="15C4D99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幼儿版数据保存、家长查看对话、成人长期记忆、声音样本授权需法务确认。</w:t>
            </w:r>
          </w:p>
        </w:tc>
      </w:tr>
      <w:tr w14:paraId="42AF59FD">
        <w:tblPrEx/>
        <w:trPr>
          <w:cantSplit/>
          <w:jc w:val="center"/>
        </w:trPr>
        <w:tc>
          <w:tcPr>
            <w:tcW w:w="2268" w:type="dxa"/>
            <w:tcBorders/>
            <w:vAlign w:val="center"/>
          </w:tcPr>
          <w:p w14:paraId="E39F348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生产权限</w:t>
            </w:r>
          </w:p>
        </w:tc>
        <w:tc>
          <w:tcPr>
            <w:tcW w:w="6804" w:type="dxa"/>
            <w:tcBorders/>
            <w:vAlign w:val="center"/>
          </w:tcPr>
          <w:p w14:paraId="5AC1BA0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乙方部署权限应可审计、可回收；生产密钥由甲方统一管理。</w:t>
            </w:r>
          </w:p>
        </w:tc>
      </w:tr>
      <w:tr w14:paraId="1D22BF85">
        <w:tblPrEx/>
        <w:trPr>
          <w:cantSplit/>
          <w:jc w:val="center"/>
        </w:trPr>
        <w:tc>
          <w:tcPr>
            <w:tcW w:w="2268" w:type="dxa"/>
            <w:tcBorders/>
            <w:vAlign w:val="center"/>
          </w:tcPr>
          <w:p w14:paraId="51DE67B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备份回滚</w:t>
            </w:r>
          </w:p>
        </w:tc>
        <w:tc>
          <w:tcPr>
            <w:tcW w:w="6804" w:type="dxa"/>
            <w:tcBorders/>
            <w:vAlign w:val="center"/>
          </w:tcPr>
          <w:p w14:paraId="98E25DC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上线前完成数据库备份、容器镜像回滚、固件 OTA 回滚和 DNS 回切方案。</w:t>
            </w:r>
          </w:p>
        </w:tc>
      </w:tr>
    </w:tbl>
    <w:p w14:paraId="42010B5F">
      <w:pPr>
        <w:pStyle w:val="style0"/>
        <w:rPr/>
      </w:pPr>
    </w:p>
    <w:p w14:paraId="A4D1CB61">
      <w:pPr>
        <w:pStyle w:val="style2"/>
        <w:rPr/>
      </w:pPr>
      <w:r>
        <w:t>8.1 甲方需准备材料汇总</w:t>
      </w:r>
    </w:p>
    <w:p w14:paraId="8E45676D">
      <w:pPr>
        <w:pStyle w:val="style48"/>
        <w:rPr/>
      </w:pPr>
      <w:r>
        <w:rPr>
          <w:rFonts w:ascii="Noto Sans CJK SC" w:eastAsia="Noto Sans CJK SC" w:hAnsi="Noto Sans CJK SC"/>
        </w:rPr>
        <w:t>一个可备案主域名及 DNS 管理权限，或明确使用现有域名的子域名授权。</w:t>
      </w:r>
    </w:p>
    <w:p w14:paraId="335534E5">
      <w:pPr>
        <w:pStyle w:val="style48"/>
        <w:rPr/>
      </w:pPr>
      <w:r>
        <w:rPr>
          <w:rFonts w:ascii="Noto Sans CJK SC" w:eastAsia="Noto Sans CJK SC" w:hAnsi="Noto Sans CJK SC"/>
        </w:rPr>
        <w:t>微信小程序账号、微信支付商户号和对应管理员授权。</w:t>
      </w:r>
    </w:p>
    <w:p w14:paraId="8CD101BA">
      <w:pPr>
        <w:pStyle w:val="style48"/>
        <w:rPr/>
      </w:pPr>
      <w:r>
        <w:rPr>
          <w:rFonts w:ascii="Noto Sans CJK SC" w:eastAsia="Noto Sans CJK SC" w:hAnsi="Noto Sans CJK SC"/>
        </w:rPr>
        <w:t>DeepSeek/大模型、ASR、TTS、声音克隆、内容审核等第三方账号或授权乙方代开。</w:t>
      </w:r>
    </w:p>
    <w:p w14:paraId="DB66A9AB">
      <w:pPr>
        <w:pStyle w:val="style48"/>
        <w:rPr/>
      </w:pPr>
      <w:r>
        <w:rPr>
          <w:rFonts w:ascii="Noto Sans CJK SC" w:eastAsia="Noto Sans CJK SC" w:hAnsi="Noto Sans CJK SC"/>
        </w:rPr>
        <w:t>小程序隐私协议、用户协议、声音克隆授权文案、儿童隐私保护文案和客服入口。</w:t>
      </w:r>
    </w:p>
    <w:p w14:paraId="B01649D8">
      <w:pPr>
        <w:pStyle w:val="style48"/>
        <w:numPr>
          <w:ilvl w:val="0"/>
          <w:numId w:val="0"/>
        </w:numPr>
        <w:ind w:left="0" w:firstLine="0"/>
        <w:rPr/>
      </w:pPr>
    </w:p>
    <w:sectPr>
      <w:headerReference w:type="default" r:id="rId3"/>
      <w:footerReference w:type="default" r:id="rId4"/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E41E34C7">
    <w:pPr>
      <w:pStyle w:val="style32"/>
      <w:rPr/>
    </w:pPr>
    <w:r>
      <w:rPr>
        <w:rFonts w:ascii="Noto Sans CJK SC" w:eastAsia="Noto Sans CJK SC" w:hAnsi="Noto Sans CJK SC"/>
        <w:color w:val="6b7280"/>
        <w:sz w:val="16"/>
      </w:rPr>
      <w:t>庆喜儿 AI 玩具项目 · 内部评审稿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9B36B8B2">
    <w:pPr>
      <w:pStyle w:val="style31"/>
      <w:rPr/>
    </w:pPr>
    <w:r>
      <w:rPr>
        <w:rFonts w:ascii="Noto Sans CJK SC" w:eastAsia="Noto Sans CJK SC" w:hAnsi="Noto Sans CJK SC"/>
        <w:color w:val="6b7280"/>
        <w:sz w:val="16"/>
      </w:rPr>
      <w:t>环境部署清单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Noto Sans CJK SC" w:eastAsia="Noto Sans CJK SC" w:hAnsi="Noto Sans CJK SC"/>
      <w:color w:val="111827"/>
      <w:sz w:val="20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00d7029d-7751-4c9d-ab5c-ee03bdc3f4fb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27253d0b-4029-4f56-92f4-cad892030fa7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134e4a"/>
      <w:sz w:val="32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0f172a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374151"/>
      <w:sz w:val="22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59d029ff-35b3-4967-922a-b2d0d72e065f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bcfca69a-3455-4816-838c-276f71b6fbed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fe25d5e0-36ca-4b67-b8c1-953ea537ef11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b/>
      <w:color w:val="134e4a"/>
      <w:spacing w:val="5"/>
      <w:kern w:val="28"/>
      <w:sz w:val="48"/>
      <w:szCs w:val="52"/>
    </w:rPr>
  </w:style>
  <w:style w:type="character" w:customStyle="1" w:styleId="style4102">
    <w:name w:val="Title Char_a7a3d2a5-44e5-4269-8f84-292b6cf007df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63f1994e-27b0-44c9-baf2-8b75b71d4066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5f87f8c4-b309-40c9-9da9-b93ae27b6004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db4d7934-0523-43bc-a88c-b7aabf35c7ff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a4be5aca-b141-4e7f-88dd-f1824bbdc000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37f19d2b-8225-4dd1-ab34-6f5ff0c05e0a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a094117a-1c7a-45a9-a000-926468feab89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93774da4-5499-4bda-8d90-f1e1eae8d7a5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7b44ba41-c5be-44c9-87d7-bb5e6d0414b2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paragraph" w:customStyle="1" w:styleId="style4116">
    <w:name w:val="DocSmall"/>
    <w:next w:val="style4116"/>
    <w:pPr/>
    <w:rPr>
      <w:rFonts w:ascii="Noto Sans CJK SC" w:eastAsia="Noto Sans CJK SC" w:hAnsi="Noto Sans CJK SC"/>
      <w:color w:val="4b5563"/>
      <w:sz w:val="16"/>
    </w:rPr>
  </w:style>
  <w:style w:type="paragraph" w:customStyle="1" w:styleId="style4117">
    <w:name w:val="CodeText"/>
    <w:next w:val="style4117"/>
    <w:pPr/>
    <w:rPr>
      <w:rFonts w:ascii="Noto Sans Mono CJK SC" w:eastAsia="Noto Sans Mono CJK SC" w:hAnsi="Noto Sans Mono CJK SC"/>
      <w:color w:val="111827"/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Words>3371</Words>
  <Pages>1</Pages>
  <Characters>5053</Characters>
  <Application>WPS Office</Application>
  <DocSecurity>0</DocSecurity>
  <Paragraphs>447</Paragraphs>
  <ScaleCrop>false</ScaleCrop>
  <LinksUpToDate>false</LinksUpToDate>
  <CharactersWithSpaces>5349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ICL-AL10</lastModifiedBy>
  <dcterms:modified xsi:type="dcterms:W3CDTF">2026-06-14T11:27:09Z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50dd2ca5194e44a898e40541ca803c30</vt:lpwstr>
  </property>
</Properties>
</file>