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60" w:before="0"/>
        <w:jc w:val="center"/>
      </w:pPr>
      <w:r>
        <w:rPr>
          <w:rFonts w:ascii="Arial" w:cs="Arial" w:eastAsia="Arial" w:hAnsi="Arial"/>
          <w:b/>
          <w:bCs/>
          <w:caps/>
          <w:color w:val="1B3A6B"/>
          <w:sz w:val="52"/>
          <w:szCs w:val="52"/>
        </w:rPr>
        <w:t xml:space="preserve">NOVASPHERE TECHNOLOGIES</w:t>
      </w:r>
    </w:p>
    <w:p>
      <w:pPr>
        <w:pBdr>
          <w:bottom w:val="single" w:color="2E6DB4" w:sz="12" w:space="8"/>
        </w:pBdr>
        <w:spacing w:after="640" w:before="0"/>
        <w:jc w:val="center"/>
      </w:pPr>
      <w:r>
        <w:rPr>
          <w:rFonts w:ascii="Arial" w:cs="Arial" w:eastAsia="Arial" w:hAnsi="Arial"/>
          <w:color w:val="2E6DB4"/>
          <w:sz w:val="40"/>
          <w:szCs w:val="40"/>
        </w:rPr>
        <w:t xml:space="preserve">AI Governance &amp; Risk Assessment</w:t>
      </w:r>
    </w:p>
    <w:p/>
    <w:p>
      <w:pPr>
        <w:spacing w:after="120" w:before="0"/>
        <w:jc w:val="center"/>
      </w:pPr>
      <w:r>
        <w:rPr>
          <w:rFonts w:ascii="Arial" w:cs="Arial" w:eastAsia="Arial" w:hAnsi="Arial"/>
          <w:b/>
          <w:bCs/>
          <w:caps/>
          <w:color w:val="C0392B"/>
          <w:sz w:val="24"/>
          <w:szCs w:val="24"/>
        </w:rPr>
        <w:t xml:space="preserve">CONFIDENTIAL</w:t>
      </w:r>
    </w:p>
    <w:p>
      <w:pPr>
        <w:spacing w:after="120" w:before="0"/>
        <w:jc w:val="center"/>
      </w:pPr>
      <w:r>
        <w:rPr>
          <w:rFonts w:ascii="Arial" w:cs="Arial" w:eastAsia="Arial" w:hAnsi="Arial"/>
          <w:color w:val="4A4A4A"/>
          <w:sz w:val="22"/>
          <w:szCs w:val="22"/>
        </w:rPr>
        <w:t xml:space="preserve">Prepared by: Shankar | AI Governance &amp; Cybersecurity Consulting</w:t>
      </w:r>
    </w:p>
    <w:p>
      <w:pPr>
        <w:spacing w:after="120" w:before="0"/>
        <w:jc w:val="center"/>
      </w:pPr>
      <w:r>
        <w:rPr>
          <w:rFonts w:ascii="Arial" w:cs="Arial" w:eastAsia="Arial" w:hAnsi="Arial"/>
          <w:color w:val="4A4A4A"/>
          <w:sz w:val="22"/>
          <w:szCs w:val="22"/>
        </w:rPr>
        <w:t xml:space="preserve">Assessment Date: April 2026</w:t>
      </w:r>
    </w:p>
    <w:p>
      <w:pPr>
        <w:spacing w:after="120" w:before="0"/>
        <w:jc w:val="center"/>
      </w:pPr>
      <w:r>
        <w:rPr>
          <w:rFonts w:ascii="Arial" w:cs="Arial" w:eastAsia="Arial" w:hAnsi="Arial"/>
          <w:color w:val="4A4A4A"/>
          <w:sz w:val="22"/>
          <w:szCs w:val="22"/>
        </w:rPr>
        <w:t xml:space="preserve">Document Version: 1.0</w:t>
      </w:r>
    </w:p>
    <w:p/>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4A4A4A"/>
                <w:sz w:val="18"/>
                <w:szCs w:val="18"/>
              </w:rPr>
              <w:t xml:space="preserve">DISCLAIMER: </w:t>
            </w:r>
            <w:r>
              <w:rPr>
                <w:rFonts w:ascii="Arial" w:cs="Arial" w:eastAsia="Arial" w:hAnsi="Arial"/>
                <w:color w:val="4A4A4A"/>
                <w:sz w:val="18"/>
                <w:szCs w:val="18"/>
              </w:rPr>
              <w:t xml:space="preserve">This report was prepared solely for portfolio demonstration purposes. NovaSphere Technologies is a fictional organization. All findings, data, and scenarios contained herein are illustrative and do not represent the security posture of any real entity.</w:t>
            </w:r>
          </w:p>
        </w:tc>
      </w:tr>
    </w:tbl>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A6B"/>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18"/>
                <w:szCs w:val="18"/>
              </w:rPr>
              <w:t xml:space="preserve">BLUF</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top"/>
          </w:tcPr>
          <w:p>
            <w:pPr>
              <w:spacing w:after="0" w:before="0"/>
            </w:pPr>
            <w:r>
              <w:rPr>
                <w:rFonts w:ascii="Arial" w:cs="Arial" w:eastAsia="Arial" w:hAnsi="Arial"/>
                <w:color w:val="000000"/>
                <w:sz w:val="20"/>
                <w:szCs w:val="20"/>
              </w:rPr>
              <w:t xml:space="preserve">NovaSphere Technologies presents a </w:t>
            </w:r>
            <w:r>
              <w:rPr>
                <w:rFonts w:ascii="Arial" w:cs="Arial" w:eastAsia="Arial" w:hAnsi="Arial"/>
                <w:b/>
                <w:bCs/>
                <w:color w:val="C0392B"/>
                <w:sz w:val="20"/>
                <w:szCs w:val="20"/>
              </w:rPr>
              <w:t xml:space="preserve">High</w:t>
            </w:r>
            <w:r>
              <w:rPr>
                <w:rFonts w:ascii="Arial" w:cs="Arial" w:eastAsia="Arial" w:hAnsi="Arial"/>
                <w:color w:val="000000"/>
                <w:sz w:val="20"/>
                <w:szCs w:val="20"/>
              </w:rPr>
              <w:t xml:space="preserve"> aggregate AI risk posture. Five of eight identified risks are rated High or Critical. The most urgent gaps are the absence of an AI Acceptable Use Policy, no adversarial testing for the customer-facing AI assistant, and undefined AI governance roles. Immediate action is recommended on Findings F-01, F-02, and F-03 before the next product release cycle.</w:t>
            </w:r>
          </w:p>
        </w:tc>
      </w:tr>
    </w:tbl>
    <w:p/>
    <w:p>
      <w:pPr>
        <w:spacing w:after="100" w:before="60"/>
        <w:jc w:val="left"/>
      </w:pPr>
      <w:r>
        <w:rPr>
          <w:rFonts w:ascii="Arial" w:cs="Arial" w:eastAsia="Arial" w:hAnsi="Arial"/>
          <w:color w:val="000000"/>
          <w:sz w:val="22"/>
          <w:szCs w:val="22"/>
        </w:rPr>
        <w:t xml:space="preserve">This report presents the findings of an AI Governance and Risk Assessment conducted against NovaSphere Technologies, a mid-size SaaS company offering cloud-based workforce management solutions. The assessment evaluated NovaSphere's AI-enabled systems, governance controls, and risk management practices against two frameworks: the </w:t>
      </w:r>
      <w:r>
        <w:rPr>
          <w:rFonts w:ascii="Arial" w:cs="Arial" w:eastAsia="Arial" w:hAnsi="Arial"/>
          <w:b/>
          <w:bCs/>
          <w:color w:val="000000"/>
          <w:sz w:val="22"/>
          <w:szCs w:val="22"/>
        </w:rPr>
        <w:t xml:space="preserve">NIST AI Risk Management Framework (AI RMF 1.0)</w:t>
      </w:r>
      <w:r>
        <w:rPr>
          <w:rFonts w:ascii="Arial" w:cs="Arial" w:eastAsia="Arial" w:hAnsi="Arial"/>
          <w:color w:val="000000"/>
          <w:sz w:val="22"/>
          <w:szCs w:val="22"/>
        </w:rPr>
        <w:t xml:space="preserve"> and </w:t>
      </w:r>
      <w:r>
        <w:rPr>
          <w:rFonts w:ascii="Arial" w:cs="Arial" w:eastAsia="Arial" w:hAnsi="Arial"/>
          <w:b/>
          <w:bCs/>
          <w:color w:val="000000"/>
          <w:sz w:val="22"/>
          <w:szCs w:val="22"/>
        </w:rPr>
        <w:t xml:space="preserve">ISO/IEC 42001:2023 (Artificial Intelligence Management System)</w:t>
      </w:r>
      <w:r>
        <w:rPr>
          <w:rFonts w:ascii="Arial" w:cs="Arial" w:eastAsia="Arial" w:hAnsi="Arial"/>
          <w:color w:val="000000"/>
          <w:sz w:val="22"/>
          <w:szCs w:val="22"/>
        </w:rPr>
        <w:t xml:space="preserve">.</w:t>
      </w:r>
    </w:p>
    <w:p>
      <w:pPr>
        <w:spacing w:after="100" w:before="60"/>
        <w:jc w:val="left"/>
      </w:pPr>
      <w:r>
        <w:rPr>
          <w:rFonts w:ascii="Arial" w:cs="Arial" w:eastAsia="Arial" w:hAnsi="Arial"/>
          <w:color w:val="000000"/>
          <w:sz w:val="22"/>
          <w:szCs w:val="22"/>
        </w:rPr>
        <w:t xml:space="preserve">The assessment identified eight AI-specific risks, five findings requiring remediation, and a prioritized 90-day roadmap. The organization has a strong foundational security posture from its existing ISO 27001-aligned controls program; however, AI-specific governance, testing, and vendor risk management capabilities are nascent and require deliberate investment.</w:t>
      </w:r>
    </w:p>
    <w:p/>
    <w:p>
      <w:pPr>
        <w:pStyle w:val="Heading2"/>
      </w:pPr>
      <w:r>
        <w:rPr>
          <w:rFonts w:ascii="Arial" w:cs="Arial" w:eastAsia="Arial" w:hAnsi="Arial"/>
          <w:b/>
          <w:bCs/>
          <w:color w:val="1B3A6B"/>
          <w:sz w:val="26"/>
          <w:szCs w:val="26"/>
        </w:rPr>
        <w:t xml:space="preserve">Assessment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Result</w:t>
            </w:r>
          </w:p>
        </w:tc>
      </w:tr>
      <w:tr>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Assessment Scope</w:t>
            </w:r>
          </w:p>
        </w:tc>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3 AI Systems; 8 Risk Areas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Frameworks Applied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NIST AI RMF 1.0; ISO/IEC 42001:2023</w:t>
            </w:r>
          </w:p>
        </w:tc>
      </w:tr>
      <w:tr>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Total Risks Identified</w:t>
            </w:r>
          </w:p>
        </w:tc>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8</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Critical Risks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1</w:t>
            </w:r>
          </w:p>
        </w:tc>
      </w:tr>
      <w:tr>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High Risks</w:t>
            </w:r>
          </w:p>
        </w:tc>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4</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Medium Risks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3</w:t>
            </w:r>
          </w:p>
        </w:tc>
      </w:tr>
      <w:tr>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Total Findings</w:t>
            </w:r>
          </w:p>
        </w:tc>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5</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Overall Risk Posture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C0392B"/>
                <w:sz w:val="18"/>
                <w:szCs w:val="18"/>
              </w:rPr>
              <w:t xml:space="preserve">HIGH</w:t>
            </w:r>
          </w:p>
        </w:tc>
      </w:tr>
    </w:tbl>
    <w:p/>
    <w:p>
      <w:r>
        <w:br w:type="page"/>
      </w:r>
    </w:p>
    <w:p>
      <w:pPr>
        <w:pStyle w:val="Heading1"/>
      </w:pPr>
      <w:r>
        <w:rPr>
          <w:rFonts w:ascii="Arial" w:cs="Arial" w:eastAsia="Arial" w:hAnsi="Arial"/>
          <w:b/>
          <w:bCs/>
          <w:color w:val="1B3A6B"/>
          <w:sz w:val="32"/>
          <w:szCs w:val="32"/>
        </w:rPr>
        <w:t xml:space="preserve">2. Engagement Scope and Methodology</w:t>
      </w:r>
    </w:p>
    <w:p>
      <w:pPr>
        <w:pStyle w:val="Heading2"/>
      </w:pPr>
      <w:r>
        <w:rPr>
          <w:rFonts w:ascii="Arial" w:cs="Arial" w:eastAsia="Arial" w:hAnsi="Arial"/>
          <w:b/>
          <w:bCs/>
          <w:color w:val="1B3A6B"/>
          <w:sz w:val="26"/>
          <w:szCs w:val="26"/>
        </w:rPr>
        <w:t xml:space="preserve">2.1 Organization Profile</w:t>
      </w:r>
    </w:p>
    <w:p>
      <w:pPr>
        <w:spacing w:after="100" w:before="60"/>
        <w:jc w:val="left"/>
      </w:pPr>
      <w:r>
        <w:rPr>
          <w:rFonts w:ascii="Arial" w:cs="Arial" w:eastAsia="Arial" w:hAnsi="Arial"/>
          <w:color w:val="000000"/>
          <w:sz w:val="22"/>
          <w:szCs w:val="22"/>
        </w:rPr>
        <w:t xml:space="preserve">NovaSphere Technologies is a B2B SaaS company providing cloud-based human capital management (HCM) software to mid-market enterprises across financial services, healthcare, and retail verticals. The company employs approximately 320 staff across engineering, product, sales, and operations functions.</w:t>
      </w:r>
    </w:p>
    <w:p>
      <w:pPr>
        <w:pStyle w:val="Heading2"/>
      </w:pPr>
      <w:r>
        <w:rPr>
          <w:rFonts w:ascii="Arial" w:cs="Arial" w:eastAsia="Arial" w:hAnsi="Arial"/>
          <w:b/>
          <w:bCs/>
          <w:color w:val="1B3A6B"/>
          <w:sz w:val="26"/>
          <w:szCs w:val="26"/>
        </w:rPr>
        <w:t xml:space="preserve">2.2 AI Systems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160"/>
        <w:gridCol w:w="260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System ID</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System Name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Type</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Use Case</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AI-SYS-01</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NovaSphere Assist</w:t>
            </w:r>
          </w:p>
        </w:tc>
        <w:tc>
          <w:tcPr>
            <w:tcW w:type="dxa" w:w="21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LLM (GPT-4o via API)</w:t>
            </w:r>
          </w:p>
        </w:tc>
        <w:tc>
          <w:tcPr>
            <w:tcW w:type="dxa" w:w="26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Customer support chatbot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AI-SYS-02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TalentMatch Engine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ML Recommendation Model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Job-candidate matching</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AI-SYS-03</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Workforce Analytics</w:t>
            </w:r>
          </w:p>
        </w:tc>
        <w:tc>
          <w:tcPr>
            <w:tcW w:type="dxa" w:w="21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Predictive Analytics</w:t>
            </w:r>
          </w:p>
        </w:tc>
        <w:tc>
          <w:tcPr>
            <w:tcW w:type="dxa" w:w="26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Attrition risk scoring</w:t>
            </w:r>
          </w:p>
        </w:tc>
      </w:tr>
    </w:tbl>
    <w:p/>
    <w:p>
      <w:pPr>
        <w:pStyle w:val="Heading2"/>
      </w:pPr>
      <w:r>
        <w:rPr>
          <w:rFonts w:ascii="Arial" w:cs="Arial" w:eastAsia="Arial" w:hAnsi="Arial"/>
          <w:b/>
          <w:bCs/>
          <w:color w:val="1B3A6B"/>
          <w:sz w:val="26"/>
          <w:szCs w:val="26"/>
        </w:rPr>
        <w:t xml:space="preserve">2.3 Methodology</w:t>
      </w:r>
    </w:p>
    <w:p>
      <w:pPr>
        <w:spacing w:after="100" w:before="60"/>
        <w:jc w:val="left"/>
      </w:pPr>
      <w:r>
        <w:rPr>
          <w:rFonts w:ascii="Arial" w:cs="Arial" w:eastAsia="Arial" w:hAnsi="Arial"/>
          <w:color w:val="000000"/>
          <w:sz w:val="22"/>
          <w:szCs w:val="22"/>
        </w:rPr>
        <w:t xml:space="preserve">The assessment was conducted using a four-phase methodology aligned to the NIST AI RMF core functions:</w:t>
      </w:r>
    </w:p>
    <w:p>
      <w:pPr>
        <w:pStyle w:val="ListParagraph"/>
        <w:numPr>
          <w:ilvl w:val="0"/>
          <w:numId w:val="2"/>
        </w:numPr>
        <w:spacing w:after="40" w:before="40"/>
      </w:pPr>
      <w:r>
        <w:rPr>
          <w:rFonts w:ascii="Arial" w:cs="Arial" w:eastAsia="Arial" w:hAnsi="Arial"/>
          <w:color w:val="000000"/>
          <w:sz w:val="22"/>
          <w:szCs w:val="22"/>
        </w:rPr>
        <w:t xml:space="preserve">GOVERN — Review of AI policies, governance structures, roles, and accountability mechanisms.</w:t>
      </w:r>
    </w:p>
    <w:p>
      <w:pPr>
        <w:pStyle w:val="ListParagraph"/>
        <w:numPr>
          <w:ilvl w:val="0"/>
          <w:numId w:val="2"/>
        </w:numPr>
        <w:spacing w:after="40" w:before="40"/>
      </w:pPr>
      <w:r>
        <w:rPr>
          <w:rFonts w:ascii="Arial" w:cs="Arial" w:eastAsia="Arial" w:hAnsi="Arial"/>
          <w:color w:val="000000"/>
          <w:sz w:val="22"/>
          <w:szCs w:val="22"/>
        </w:rPr>
        <w:t xml:space="preserve">MAP — Identification and categorization of AI systems, use cases, and associated risk context.</w:t>
      </w:r>
    </w:p>
    <w:p>
      <w:pPr>
        <w:pStyle w:val="ListParagraph"/>
        <w:numPr>
          <w:ilvl w:val="0"/>
          <w:numId w:val="2"/>
        </w:numPr>
        <w:spacing w:after="40" w:before="40"/>
      </w:pPr>
      <w:r>
        <w:rPr>
          <w:rFonts w:ascii="Arial" w:cs="Arial" w:eastAsia="Arial" w:hAnsi="Arial"/>
          <w:color w:val="000000"/>
          <w:sz w:val="22"/>
          <w:szCs w:val="22"/>
        </w:rPr>
        <w:t xml:space="preserve">MEASURE — Analysis of AI risk testing, monitoring, bias evaluation, and explainability controls.</w:t>
      </w:r>
    </w:p>
    <w:p>
      <w:pPr>
        <w:pStyle w:val="ListParagraph"/>
        <w:numPr>
          <w:ilvl w:val="0"/>
          <w:numId w:val="2"/>
        </w:numPr>
        <w:spacing w:after="40" w:before="40"/>
      </w:pPr>
      <w:r>
        <w:rPr>
          <w:rFonts w:ascii="Arial" w:cs="Arial" w:eastAsia="Arial" w:hAnsi="Arial"/>
          <w:color w:val="000000"/>
          <w:sz w:val="22"/>
          <w:szCs w:val="22"/>
        </w:rPr>
        <w:t xml:space="preserve">MANAGE — Assessment of incident response, vendor risk, remediation, and lifecycle controls.</w:t>
      </w:r>
    </w:p>
    <w:p/>
    <w:p>
      <w:pPr>
        <w:spacing w:after="100" w:before="60"/>
        <w:jc w:val="left"/>
      </w:pPr>
      <w:r>
        <w:rPr>
          <w:rFonts w:ascii="Arial" w:cs="Arial" w:eastAsia="Arial" w:hAnsi="Arial"/>
          <w:color w:val="000000"/>
          <w:sz w:val="22"/>
          <w:szCs w:val="22"/>
        </w:rPr>
        <w:t xml:space="preserve">Evidence was gathered through stakeholder interviews, documentation review (policies, contracts, architecture diagrams), and configuration analysis of AI systems in scope. Findings were mapped to NIST AI RMF subcategories and ISO/IEC 42001:2023 clauses and Annex A controls.</w:t>
      </w:r>
    </w:p>
    <w:p/>
    <w:p>
      <w:r>
        <w:br w:type="page"/>
      </w:r>
    </w:p>
    <w:p>
      <w:pPr>
        <w:pStyle w:val="Heading1"/>
      </w:pPr>
      <w:r>
        <w:rPr>
          <w:rFonts w:ascii="Arial" w:cs="Arial" w:eastAsia="Arial" w:hAnsi="Arial"/>
          <w:b/>
          <w:bCs/>
          <w:color w:val="1B3A6B"/>
          <w:sz w:val="32"/>
          <w:szCs w:val="32"/>
        </w:rPr>
        <w:t xml:space="preserve">3. Detailed Findings</w:t>
      </w:r>
    </w:p>
    <w:p>
      <w:pPr>
        <w:spacing w:after="100" w:before="60"/>
        <w:jc w:val="left"/>
      </w:pPr>
      <w:r>
        <w:rPr>
          <w:rFonts w:ascii="Arial" w:cs="Arial" w:eastAsia="Arial" w:hAnsi="Arial"/>
          <w:color w:val="000000"/>
          <w:sz w:val="22"/>
          <w:szCs w:val="22"/>
        </w:rPr>
        <w:t xml:space="preserve">This section presents detailed findings from the assessment. Each finding includes observed condition, business impact, and recommended remediation action.</w:t>
      </w:r>
    </w:p>
    <w:p/>
    <w:p>
      <w:pPr>
        <w:pStyle w:val="Heading2"/>
      </w:pPr>
      <w:r>
        <w:rPr>
          <w:rFonts w:ascii="Arial" w:cs="Arial" w:eastAsia="Arial" w:hAnsi="Arial"/>
          <w:b/>
          <w:bCs/>
          <w:color w:val="1B3A6B"/>
          <w:sz w:val="26"/>
          <w:szCs w:val="26"/>
        </w:rPr>
        <w:t xml:space="preserve">F-01: AI Governance Structure: Undefined Roles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Framework Refs</w:t>
            </w:r>
          </w:p>
        </w:tc>
        <w:tc>
          <w:tcPr>
            <w:tcW w:type="dxa" w:w="7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Mapped Controls</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NIST AI RMF</w:t>
            </w:r>
          </w:p>
        </w:tc>
        <w:tc>
          <w:tcPr>
            <w:tcW w:type="dxa" w:w="75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GOVERN 2.1 / 2.2</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ISO 42001</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ISO 42001 Cl. 5.1, 5.3</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Observation</w:t>
            </w:r>
          </w:p>
        </w:tc>
      </w:tr>
      <w:tr>
        <w:tc>
          <w:tcPr>
            <w:tcW w:type="dxa" w:w="9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NovaSphere has no formally designated AI Risk Owner, no AI governance committee, and no RACI for AI system lifecycle decisions. Responsibility for AI-related risk decisions currently defaults to individual engineering leads on an informal basis.</w:t>
            </w:r>
          </w:p>
        </w:tc>
      </w:tr>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Business Impact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Absence of governance structure creates fragmented accountability, slows incident response, and increases regulatory exposure as AI-specific frameworks (EU AI Act, India DPDP) mature.</w:t>
            </w:r>
          </w:p>
        </w:tc>
      </w:tr>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Recommendation</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Establish an AI Governance Committee with cross-functional membership (Legal, Engineering, Security, Product). Designate an AI Risk Owner at the leadership level. Publish a RACI covering all AI lifecycle phases.</w:t>
            </w:r>
          </w:p>
        </w:tc>
      </w:tr>
    </w:tbl>
    <w:p/>
    <w:p/>
    <w:p>
      <w:pPr>
        <w:pStyle w:val="Heading2"/>
      </w:pPr>
      <w:r>
        <w:rPr>
          <w:rFonts w:ascii="Arial" w:cs="Arial" w:eastAsia="Arial" w:hAnsi="Arial"/>
          <w:b/>
          <w:bCs/>
          <w:color w:val="1B3A6B"/>
          <w:sz w:val="26"/>
          <w:szCs w:val="26"/>
        </w:rPr>
        <w:t xml:space="preserve">F-02: Shadow AI: Uncontrolled Use of External LLM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Framework Refs</w:t>
            </w:r>
          </w:p>
        </w:tc>
        <w:tc>
          <w:tcPr>
            <w:tcW w:type="dxa" w:w="7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Mapped Controls</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NIST AI RMF</w:t>
            </w:r>
          </w:p>
        </w:tc>
        <w:tc>
          <w:tcPr>
            <w:tcW w:type="dxa" w:w="75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GOVERN 1.1 / MAP 1.1</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ISO 42001</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ISO 42001 Cl. 6.1.2, A.6.1</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Observation</w:t>
            </w:r>
          </w:p>
        </w:tc>
      </w:tr>
      <w:tr>
        <w:tc>
          <w:tcPr>
            <w:tcW w:type="dxa" w:w="9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Employee interviews and network log sampling indicate widespread use of consumer-grade LLM tools (ChatGPT, Claude, Gemini) for work tasks including drafting customer communications, summarizing support tickets, and writing code. No AI Acceptable Use Policy exists. No DLP controls are configured to detect data uploads to external AI services.</w:t>
            </w:r>
          </w:p>
        </w:tc>
      </w:tr>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Business Impact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Confidential customer data and proprietary source code are at risk of ingestion into third-party model training pipelines. This creates material breach of NovaSphere's customer DPAs and potential regulatory violations.</w:t>
            </w:r>
          </w:p>
        </w:tc>
      </w:tr>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Recommendation</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Issue an AI Acceptable Use Policy within 30 days. Configure DLP rules to detect and alert on uploads to known AI services. Evaluate an enterprise-grade AI platform (Microsoft Copilot, AWS Bedrock) to redirect demand to a controlled environment.</w:t>
            </w:r>
          </w:p>
        </w:tc>
      </w:tr>
    </w:tbl>
    <w:p/>
    <w:p/>
    <w:p>
      <w:pPr>
        <w:pStyle w:val="Heading2"/>
      </w:pPr>
      <w:r>
        <w:rPr>
          <w:rFonts w:ascii="Arial" w:cs="Arial" w:eastAsia="Arial" w:hAnsi="Arial"/>
          <w:b/>
          <w:bCs/>
          <w:color w:val="1B3A6B"/>
          <w:sz w:val="26"/>
          <w:szCs w:val="26"/>
        </w:rPr>
        <w:t xml:space="preserve">F-03: Adversarial Robustness: No Red-Team Testing for AI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Framework Refs</w:t>
            </w:r>
          </w:p>
        </w:tc>
        <w:tc>
          <w:tcPr>
            <w:tcW w:type="dxa" w:w="7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Mapped Controls</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NIST AI RMF</w:t>
            </w:r>
          </w:p>
        </w:tc>
        <w:tc>
          <w:tcPr>
            <w:tcW w:type="dxa" w:w="75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MEASURE 2.5 / MANAGE 2.2</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ISO 42001</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ISO 42001 Cl. 8.4, A.8.2</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Observation</w:t>
            </w:r>
          </w:p>
        </w:tc>
      </w:tr>
      <w:tr>
        <w:tc>
          <w:tcPr>
            <w:tcW w:type="dxa" w:w="9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The customer-facing AI assistant (NovaSphere Assist) has not undergone adversarial testing. No prompt injection, jailbreak, or indirect injection testing has been performed. Security testing for AI components is not included in the existing application security testing program (SAST/DAST).</w:t>
            </w:r>
          </w:p>
        </w:tc>
      </w:tr>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Business Impact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Undetected prompt injection vulnerabilities could enable an attacker to extract system instructions, manipulate outputs, or pivot to connected backend services.</w:t>
            </w:r>
          </w:p>
        </w:tc>
      </w:tr>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Recommendation</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Integrate AI red-teaming into the SDL. Conduct an initial adversarial assessment of NovaSphere Assist covering OWASP LLM Top 10 categories. Implement input sanitization and output validation guardrails.</w:t>
            </w:r>
          </w:p>
        </w:tc>
      </w:tr>
    </w:tbl>
    <w:p/>
    <w:p/>
    <w:p>
      <w:pPr>
        <w:pStyle w:val="Heading2"/>
      </w:pPr>
      <w:r>
        <w:rPr>
          <w:rFonts w:ascii="Arial" w:cs="Arial" w:eastAsia="Arial" w:hAnsi="Arial"/>
          <w:b/>
          <w:bCs/>
          <w:color w:val="1B3A6B"/>
          <w:sz w:val="26"/>
          <w:szCs w:val="26"/>
        </w:rPr>
        <w:t xml:space="preserve">F-04: Bias and Fairness: No Audit Process for Recommendation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Framework Refs</w:t>
            </w:r>
          </w:p>
        </w:tc>
        <w:tc>
          <w:tcPr>
            <w:tcW w:type="dxa" w:w="7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Mapped Controls</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NIST AI RMF</w:t>
            </w:r>
          </w:p>
        </w:tc>
        <w:tc>
          <w:tcPr>
            <w:tcW w:type="dxa" w:w="75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MAP 2.3 / MEASURE 2.2</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ISO 42001</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ISO 42001 Cl. 8.3.4, A.6.2</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Observation</w:t>
            </w:r>
          </w:p>
        </w:tc>
      </w:tr>
      <w:tr>
        <w:tc>
          <w:tcPr>
            <w:tcW w:type="dxa" w:w="9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The AI-powered job-matching recommendation engine was trained on three years of historical hiring data. No fairness or bias audit has been performed on the training dataset or model outputs. No monitoring exists for disparate impact across demographic groups.</w:t>
            </w:r>
          </w:p>
        </w:tc>
      </w:tr>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Business Impact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If the model reflects historical hiring bias, it may systematically disadvantage protected groups, creating legal exposure under applicable anti-discrimination law and reputational risk with enterprise clients.</w:t>
            </w:r>
          </w:p>
        </w:tc>
      </w:tr>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Recommendation</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Commission a bias audit of the recommendation engine training data and output distributions. Define fairness metrics (demographic parity, equalized odds). Implement continuous fairness monitoring in production.</w:t>
            </w:r>
          </w:p>
        </w:tc>
      </w:tr>
    </w:tbl>
    <w:p/>
    <w:p/>
    <w:p>
      <w:pPr>
        <w:pStyle w:val="Heading2"/>
      </w:pPr>
      <w:r>
        <w:rPr>
          <w:rFonts w:ascii="Arial" w:cs="Arial" w:eastAsia="Arial" w:hAnsi="Arial"/>
          <w:b/>
          <w:bCs/>
          <w:color w:val="1B3A6B"/>
          <w:sz w:val="26"/>
          <w:szCs w:val="26"/>
        </w:rPr>
        <w:t xml:space="preserve">F-05: Third-Party AI Risk: Insufficient Vendor Due Diligence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Framework Refs</w:t>
            </w:r>
          </w:p>
        </w:tc>
        <w:tc>
          <w:tcPr>
            <w:tcW w:type="dxa" w:w="7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Mapped Controls</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NIST AI RMF</w:t>
            </w:r>
          </w:p>
        </w:tc>
        <w:tc>
          <w:tcPr>
            <w:tcW w:type="dxa" w:w="75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GOVERN 4.1 / MAP 5.1</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ISO 42001</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ISO 42001 Cl. 9.2, A.5.3</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Observation</w:t>
            </w:r>
          </w:p>
        </w:tc>
      </w:tr>
      <w:tr>
        <w:tc>
          <w:tcPr>
            <w:tcW w:type="dxa" w:w="9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NovaSphere relies on two external AI providers (OpenAI API for NovaSphere Assist; a third-party ML scoring vendor for the recommendation engine). Neither vendor contract includes AI-specific data processing terms, model change notification requirements, or subprocessor disclosure obligations. No third-party AI risk questionnaire process exists.</w:t>
            </w:r>
          </w:p>
        </w:tc>
      </w:tr>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Business Impact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Vendor model updates or policy changes may materially affect NovaSphere AI behavior without notice. Data processed via the API may be subject to the vendor's retention and training policies absent specific contractual carve-outs.</w:t>
            </w:r>
          </w:p>
        </w:tc>
      </w:tr>
      <w:tr>
        <w:tc>
          <w:tcPr>
            <w:tcW w:type="dxa" w:w="9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Recommendation</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Amend vendor agreements to include AI-specific DPA addenda covering data retention, subprocessor disclosure, model versioning notification, and incident reporting. Develop a third-party AI risk questionnaire for annual reviews.</w:t>
            </w:r>
          </w:p>
        </w:tc>
      </w:tr>
    </w:tbl>
    <w:p/>
    <w:p>
      <w:r>
        <w:br w:type="page"/>
      </w:r>
    </w:p>
    <w:p>
      <w:pPr>
        <w:pStyle w:val="Heading1"/>
      </w:pPr>
      <w:r>
        <w:rPr>
          <w:rFonts w:ascii="Arial" w:cs="Arial" w:eastAsia="Arial" w:hAnsi="Arial"/>
          <w:b/>
          <w:bCs/>
          <w:color w:val="1B3A6B"/>
          <w:sz w:val="32"/>
          <w:szCs w:val="32"/>
        </w:rPr>
        <w:t xml:space="preserve">4. AI Risk Register</w:t>
      </w:r>
    </w:p>
    <w:p>
      <w:pPr>
        <w:spacing w:after="100" w:before="60"/>
        <w:jc w:val="left"/>
      </w:pPr>
      <w:r>
        <w:rPr>
          <w:rFonts w:ascii="Arial" w:cs="Arial" w:eastAsia="Arial" w:hAnsi="Arial"/>
          <w:color w:val="000000"/>
          <w:sz w:val="22"/>
          <w:szCs w:val="22"/>
        </w:rPr>
        <w:t xml:space="preserve">The following risk register documents all identified AI risks, their likelihood, impact, aggregate risk level, framework references, and recommended controls. Risk levels are calculated as the product of likelihood and impact using a standard 3x3 matrix (Low / Medium / High / Critical).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800"/>
        <w:gridCol w:w="800"/>
        <w:gridCol w:w="800"/>
        <w:gridCol w:w="1360"/>
        <w:gridCol w:w="1200"/>
        <w:gridCol w:w="1500"/>
      </w:tblGrid>
      <w:tr>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Risk ID</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Description</w:t>
            </w:r>
          </w:p>
        </w:tc>
        <w:tc>
          <w:tcPr>
            <w:tcW w:type="dxa" w:w="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Likelihood</w:t>
            </w:r>
          </w:p>
        </w:tc>
        <w:tc>
          <w:tcPr>
            <w:tcW w:type="dxa" w:w="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Impact</w:t>
            </w:r>
          </w:p>
        </w:tc>
        <w:tc>
          <w:tcPr>
            <w:tcW w:type="dxa" w:w="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Risk Level</w:t>
            </w:r>
          </w:p>
        </w:tc>
        <w:tc>
          <w:tcPr>
            <w:tcW w:type="dxa" w:w="1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NIST AI RMF</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ISO 42001</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Recommended Control</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AI-R-01</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Shadow AI adoption by employees using unapproved LLM tools, potentially exposing confidential customer data.</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C0392B"/>
                <w:sz w:val="18"/>
                <w:szCs w:val="18"/>
              </w:rPr>
              <w:t xml:space="preserve">Critical</w:t>
            </w:r>
          </w:p>
        </w:tc>
        <w:tc>
          <w:tcPr>
            <w:tcW w:type="dxa" w:w="1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GOVERN 1.1, MAP 1.1</w:t>
            </w:r>
          </w:p>
        </w:tc>
        <w:tc>
          <w:tcPr>
            <w:tcW w:type="dxa" w:w="1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6.1.2, A.6.1</w:t>
            </w:r>
          </w:p>
        </w:tc>
        <w:tc>
          <w:tcPr>
            <w:tcW w:type="dxa" w:w="15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Implement an AI Acceptable Use Policy; deploy DLP controls to detect uploads to unauthorized AI services.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AI-R-02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Prompt injection attacks against customer-facing AI assistant, enabling extraction of system prompts or backend data.</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E67E22"/>
                <w:sz w:val="18"/>
                <w:szCs w:val="18"/>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MEASURE 2.5, MANAGE 2.2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8.4, A.8.2</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Apply input/output validation guardrails; conduct adversarial red-team testing quarterly.</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AI-R-03</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Training data used for the recommendation engine contains historical bias, resulting in discriminatory outputs for protected classes.</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E67E22"/>
                <w:sz w:val="18"/>
                <w:szCs w:val="18"/>
              </w:rPr>
              <w:t xml:space="preserve">High</w:t>
            </w:r>
          </w:p>
        </w:tc>
        <w:tc>
          <w:tcPr>
            <w:tcW w:type="dxa" w:w="1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MAP 2.3, MEASURE 2.2</w:t>
            </w:r>
          </w:p>
        </w:tc>
        <w:tc>
          <w:tcPr>
            <w:tcW w:type="dxa" w:w="1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8.3.4, A.6.2</w:t>
            </w:r>
          </w:p>
        </w:tc>
        <w:tc>
          <w:tcPr>
            <w:tcW w:type="dxa" w:w="15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Conduct bias audits on training datasets; establish fairness metrics and monitoring dashboards.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AI-R-04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Third-party LLM provider (OpenAI API) lacks contractual AI-specific data processing terms, creating regulatory exposure under DPDP Act.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E67E22"/>
                <w:sz w:val="18"/>
                <w:szCs w:val="18"/>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GOVERN 4.1, MAP 5.1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9.2, A.5.3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Update vendor contracts to include AI-specific DPA addenda; conduct annual third-party AI risk reviews.</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AI-R-05</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Absence of an AI incident response playbook means AI-related failures (hallucinations, outages, model drift) have no defined escalation path.</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E67E22"/>
                <w:sz w:val="18"/>
                <w:szCs w:val="18"/>
              </w:rPr>
              <w:t xml:space="preserve">High</w:t>
            </w:r>
          </w:p>
        </w:tc>
        <w:tc>
          <w:tcPr>
            <w:tcW w:type="dxa" w:w="1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MANAGE 3.1, MANAGE 4.1</w:t>
            </w:r>
          </w:p>
        </w:tc>
        <w:tc>
          <w:tcPr>
            <w:tcW w:type="dxa" w:w="1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8.6, A.8.5</w:t>
            </w:r>
          </w:p>
        </w:tc>
        <w:tc>
          <w:tcPr>
            <w:tcW w:type="dxa" w:w="15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Develop and test an AI Incident Response Plan integrated with existing IR procedures.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AI-R-06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AI system decisions are not explainable to end users or regulators, increasing legal risk and eroding user trust.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D68910"/>
                <w:sz w:val="18"/>
                <w:szCs w:val="18"/>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MEASURE 2.6, GOVERN 6.1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8.4.2, A.10.1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Implement model cards and user-facing explanations for AI-assisted decisions; log rationale for audit.</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AI-R-07</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No formal model versioning or rollback capability; a degraded model could remain in production without detection.</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Medium</w:t>
            </w:r>
          </w:p>
        </w:tc>
        <w:tc>
          <w:tcPr>
            <w:tcW w:type="dxa" w:w="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D68910"/>
                <w:sz w:val="18"/>
                <w:szCs w:val="18"/>
              </w:rPr>
              <w:t xml:space="preserve">Medium</w:t>
            </w:r>
          </w:p>
        </w:tc>
        <w:tc>
          <w:tcPr>
            <w:tcW w:type="dxa" w:w="13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MANAGE 1.3, MEASURE 2.7</w:t>
            </w:r>
          </w:p>
        </w:tc>
        <w:tc>
          <w:tcPr>
            <w:tcW w:type="dxa" w:w="1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8.5, A.8.4</w:t>
            </w:r>
          </w:p>
        </w:tc>
        <w:tc>
          <w:tcPr>
            <w:tcW w:type="dxa" w:w="15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Establish MLOps pipeline with automated drift detection, version control, and rollback procedures.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AI-R-08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AI governance roles and accountabilities are undefined; no RACI exists for AI system ownership or risk decisions.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D68910"/>
                <w:sz w:val="18"/>
                <w:szCs w:val="18"/>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GOVERN 2.1, GOVERN 2.2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5.1, Cl. 5.3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Assign an AI Risk Owner role; publish RACI covering development, deployment, monitoring, and decommission.</w:t>
            </w:r>
          </w:p>
        </w:tc>
      </w:tr>
    </w:tbl>
    <w:p/>
    <w:p>
      <w:r>
        <w:br w:type="page"/>
      </w:r>
    </w:p>
    <w:p>
      <w:pPr>
        <w:pStyle w:val="Heading1"/>
      </w:pPr>
      <w:r>
        <w:rPr>
          <w:rFonts w:ascii="Arial" w:cs="Arial" w:eastAsia="Arial" w:hAnsi="Arial"/>
          <w:b/>
          <w:bCs/>
          <w:color w:val="1B3A6B"/>
          <w:sz w:val="32"/>
          <w:szCs w:val="32"/>
        </w:rPr>
        <w:t xml:space="preserve">5. Remediation Roadmap</w:t>
      </w:r>
    </w:p>
    <w:p>
      <w:pPr>
        <w:spacing w:after="100" w:before="60"/>
        <w:jc w:val="left"/>
      </w:pPr>
      <w:r>
        <w:rPr>
          <w:rFonts w:ascii="Arial" w:cs="Arial" w:eastAsia="Arial" w:hAnsi="Arial"/>
          <w:color w:val="000000"/>
          <w:sz w:val="22"/>
          <w:szCs w:val="22"/>
        </w:rPr>
        <w:t xml:space="preserve">Recommendations are prioritized across three time horizons. Immediate actions address Critical and High risks with direct exposure. Near-term actions build structural governance capability. Strategic actions establish a mature, sustainable AI risk management program.</w:t>
      </w:r>
    </w:p>
    <w:p/>
    <w:p>
      <w:pPr>
        <w:pStyle w:val="Heading2"/>
      </w:pPr>
      <w:r>
        <w:rPr>
          <w:rFonts w:ascii="Arial" w:cs="Arial" w:eastAsia="Arial" w:hAnsi="Arial"/>
          <w:b/>
          <w:bCs/>
          <w:color w:val="C0392B"/>
          <w:sz w:val="26"/>
          <w:szCs w:val="26"/>
        </w:rPr>
        <w:t xml:space="preserve">5.1 Immediate (0-30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1800"/>
        <w:gridCol w:w="2200"/>
      </w:tblGrid>
      <w:tr>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Risk</w:t>
            </w:r>
          </w:p>
        </w:tc>
        <w:tc>
          <w:tcPr>
            <w:tcW w:type="dxa" w:w="44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Action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Owner</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Success Metric</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C0392B"/>
                <w:sz w:val="18"/>
                <w:szCs w:val="18"/>
              </w:rPr>
              <w:t xml:space="preserve">AI-R-01</w:t>
            </w:r>
          </w:p>
        </w:tc>
        <w:tc>
          <w:tcPr>
            <w:tcW w:type="dxa" w:w="44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Draft and publish AI Acceptable Use Policy covering prohibited data inputs, approved tools, and consequences for non-compliance.</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CISO / Legal</w:t>
            </w:r>
          </w:p>
        </w:tc>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Policy published and communicated company-wide.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C0392B"/>
                <w:sz w:val="18"/>
                <w:szCs w:val="18"/>
              </w:rPr>
              <w:t xml:space="preserve">AI-R-02</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Conduct initial adversarial assessment of NovaSphere Assist covering OWASP LLM Top 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Security Engineering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Test report produced; critical findings remediated.</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C0392B"/>
                <w:sz w:val="18"/>
                <w:szCs w:val="18"/>
              </w:rPr>
              <w:t xml:space="preserve">AI-R-05</w:t>
            </w:r>
          </w:p>
        </w:tc>
        <w:tc>
          <w:tcPr>
            <w:tcW w:type="dxa" w:w="44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Develop AI Incident Response Playbook integrated with existing IR procedures.</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Security Operations</w:t>
            </w:r>
          </w:p>
        </w:tc>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Playbook drafted and tabletop exercise completed.</w:t>
            </w:r>
          </w:p>
        </w:tc>
      </w:tr>
    </w:tbl>
    <w:p/>
    <w:p>
      <w:pPr>
        <w:pStyle w:val="Heading2"/>
      </w:pPr>
      <w:r>
        <w:rPr>
          <w:rFonts w:ascii="Arial" w:cs="Arial" w:eastAsia="Arial" w:hAnsi="Arial"/>
          <w:b/>
          <w:bCs/>
          <w:color w:val="D68910"/>
          <w:sz w:val="26"/>
          <w:szCs w:val="26"/>
        </w:rPr>
        <w:t xml:space="preserve">5.2 Near-Term (30-90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1800"/>
        <w:gridCol w:w="2200"/>
      </w:tblGrid>
      <w:tr>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Risk</w:t>
            </w:r>
          </w:p>
        </w:tc>
        <w:tc>
          <w:tcPr>
            <w:tcW w:type="dxa" w:w="44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Action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Owner</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Success Metric</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D68910"/>
                <w:sz w:val="18"/>
                <w:szCs w:val="18"/>
              </w:rPr>
              <w:t xml:space="preserve">AI-R-08</w:t>
            </w:r>
          </w:p>
        </w:tc>
        <w:tc>
          <w:tcPr>
            <w:tcW w:type="dxa" w:w="44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Establish AI Governance Committee; assign AI Risk Owner role; publish AI RACI.</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Executive Sponsor</w:t>
            </w:r>
          </w:p>
        </w:tc>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Committee charter signed; RACI published.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D68910"/>
                <w:sz w:val="18"/>
                <w:szCs w:val="18"/>
              </w:rPr>
              <w:t xml:space="preserve">AI-R-04</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Amend OpenAI and third-party ML vendor contracts with AI-specific DPA addenda.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Legal / Procurement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Amended contracts executed for all in-scope vendors.</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D68910"/>
                <w:sz w:val="18"/>
                <w:szCs w:val="18"/>
              </w:rPr>
              <w:t xml:space="preserve">AI-R-03</w:t>
            </w:r>
          </w:p>
        </w:tc>
        <w:tc>
          <w:tcPr>
            <w:tcW w:type="dxa" w:w="44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Commission bias audit of TalentMatch Engine training data and output distributions.</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Product / Data Science</w:t>
            </w:r>
          </w:p>
        </w:tc>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Bias audit report produced; fairness metrics defined.</w:t>
            </w:r>
          </w:p>
        </w:tc>
      </w:tr>
    </w:tbl>
    <w:p/>
    <w:p>
      <w:pPr>
        <w:pStyle w:val="Heading2"/>
      </w:pPr>
      <w:r>
        <w:rPr>
          <w:rFonts w:ascii="Arial" w:cs="Arial" w:eastAsia="Arial" w:hAnsi="Arial"/>
          <w:b/>
          <w:bCs/>
          <w:color w:val="2E6DB4"/>
          <w:sz w:val="26"/>
          <w:szCs w:val="26"/>
        </w:rPr>
        <w:t xml:space="preserve">5.3 Strategic (90-180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1800"/>
        <w:gridCol w:w="2200"/>
      </w:tblGrid>
      <w:tr>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Risk</w:t>
            </w:r>
          </w:p>
        </w:tc>
        <w:tc>
          <w:tcPr>
            <w:tcW w:type="dxa" w:w="44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Action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Owner</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Success Metric</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AI-R-06</w:t>
            </w:r>
          </w:p>
        </w:tc>
        <w:tc>
          <w:tcPr>
            <w:tcW w:type="dxa" w:w="44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Implement model cards for all production AI systems; add user-facing explanations to NovaSphere Assist.</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Product / Engineering</w:t>
            </w:r>
          </w:p>
        </w:tc>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Model cards published on internal knowledge base.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AI-R-07</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Establish MLOps pipeline with automated drift detection, version control, and rollback capability.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Engineering / MLOps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Pipeline operational; drift alerts configured.</w:t>
            </w:r>
          </w:p>
        </w:tc>
      </w:tr>
    </w:tbl>
    <w:p/>
    <w:p>
      <w:r>
        <w:br w:type="page"/>
      </w:r>
    </w:p>
    <w:p>
      <w:pPr>
        <w:pStyle w:val="Heading1"/>
      </w:pPr>
      <w:r>
        <w:rPr>
          <w:rFonts w:ascii="Arial" w:cs="Arial" w:eastAsia="Arial" w:hAnsi="Arial"/>
          <w:b/>
          <w:bCs/>
          <w:color w:val="1B3A6B"/>
          <w:sz w:val="32"/>
          <w:szCs w:val="32"/>
        </w:rPr>
        <w:t xml:space="preserve">6. Framework Mapping Reference</w:t>
      </w:r>
    </w:p>
    <w:p>
      <w:pPr>
        <w:spacing w:after="100" w:before="60"/>
        <w:jc w:val="left"/>
      </w:pPr>
      <w:r>
        <w:rPr>
          <w:rFonts w:ascii="Arial" w:cs="Arial" w:eastAsia="Arial" w:hAnsi="Arial"/>
          <w:color w:val="000000"/>
          <w:sz w:val="22"/>
          <w:szCs w:val="22"/>
        </w:rPr>
        <w:t xml:space="preserve">The table below provides a cross-walk between NIST AI RMF core functions/subcategories and ISO/IEC 42001:2023 clauses referenced in this report.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2280"/>
        <w:gridCol w:w="180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NIST AI RMF Function</w:t>
            </w:r>
          </w:p>
        </w:tc>
        <w:tc>
          <w:tcPr>
            <w:tcW w:type="dxa" w:w="30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Subcategory</w:t>
            </w:r>
          </w:p>
        </w:tc>
        <w:tc>
          <w:tcPr>
            <w:tcW w:type="dxa" w:w="22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ISO 42001 Reference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top"/>
          </w:tcPr>
          <w:p>
            <w:pPr>
              <w:spacing w:after="0" w:before="0"/>
            </w:pPr>
            <w:r>
              <w:rPr>
                <w:rFonts w:ascii="Arial" w:cs="Arial" w:eastAsia="Arial" w:hAnsi="Arial"/>
                <w:b/>
                <w:bCs/>
                <w:color w:val="FFFFFF"/>
                <w:sz w:val="18"/>
                <w:szCs w:val="18"/>
              </w:rPr>
              <w:t xml:space="preserve">Finding(s)</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GOVERN 1.1</w:t>
            </w:r>
          </w:p>
        </w:tc>
        <w:tc>
          <w:tcPr>
            <w:tcW w:type="dxa" w:w="30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Policies and procedures established for AI risk governance.</w:t>
            </w:r>
          </w:p>
        </w:tc>
        <w:tc>
          <w:tcPr>
            <w:tcW w:type="dxa" w:w="22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6.1.2, A.6.1</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F-02</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GOVERN 2.1/2.2</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Roles and responsibilities for AI risk defined and communicated.</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5.1, 5.3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F-01</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GOVERN 4.1</w:t>
            </w:r>
          </w:p>
        </w:tc>
        <w:tc>
          <w:tcPr>
            <w:tcW w:type="dxa" w:w="30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Third-party AI risk management processes established.</w:t>
            </w:r>
          </w:p>
        </w:tc>
        <w:tc>
          <w:tcPr>
            <w:tcW w:type="dxa" w:w="22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9.2, A.5.3</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F-05</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MAP 1.1</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AI system context and stakeholders identified.</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6.1.2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F-02</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MAP 2.3</w:t>
            </w:r>
          </w:p>
        </w:tc>
        <w:tc>
          <w:tcPr>
            <w:tcW w:type="dxa" w:w="30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AI risk related to bias and fairness characterized.</w:t>
            </w:r>
          </w:p>
        </w:tc>
        <w:tc>
          <w:tcPr>
            <w:tcW w:type="dxa" w:w="22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8.3.4, A.6.2</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F-04</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MAP 5.1</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Risks from third-party AI components identified.</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9.2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F-05</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MEASURE 2.2</w:t>
            </w:r>
          </w:p>
        </w:tc>
        <w:tc>
          <w:tcPr>
            <w:tcW w:type="dxa" w:w="30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Fairness and bias metrics established and monitored.</w:t>
            </w:r>
          </w:p>
        </w:tc>
        <w:tc>
          <w:tcPr>
            <w:tcW w:type="dxa" w:w="22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8.3.4</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F-04</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MEASURE 2.5</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Adversarial robustness tested and evaluated.</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8.4, A.8.2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F-03</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MEASURE 2.6</w:t>
            </w:r>
          </w:p>
        </w:tc>
        <w:tc>
          <w:tcPr>
            <w:tcW w:type="dxa" w:w="30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AI explainability and transparency measured.</w:t>
            </w:r>
          </w:p>
        </w:tc>
        <w:tc>
          <w:tcPr>
            <w:tcW w:type="dxa" w:w="22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8.4.2, A.10.1</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AI-R-06</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MANAGE 2.2</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Detected AI risks treated and remediated.</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F-03</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MANAGE 3.1</w:t>
            </w:r>
          </w:p>
        </w:tc>
        <w:tc>
          <w:tcPr>
            <w:tcW w:type="dxa" w:w="30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AI incident response process defined.</w:t>
            </w:r>
          </w:p>
        </w:tc>
        <w:tc>
          <w:tcPr>
            <w:tcW w:type="dxa" w:w="22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8.6</w:t>
            </w:r>
          </w:p>
        </w:tc>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AI-R-05</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000000"/>
                <w:sz w:val="18"/>
                <w:szCs w:val="18"/>
              </w:rPr>
              <w:t xml:space="preserve">MANAGE 4.1</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AI incidents tracked, analyzed, and reported.</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val="false"/>
                <w:bCs w:val="false"/>
                <w:color w:val="000000"/>
                <w:sz w:val="18"/>
                <w:szCs w:val="18"/>
              </w:rPr>
              <w:t xml:space="preserve">Cl. 8.6, A.8.5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0" w:before="0"/>
            </w:pPr>
            <w:r>
              <w:rPr>
                <w:rFonts w:ascii="Arial" w:cs="Arial" w:eastAsia="Arial" w:hAnsi="Arial"/>
                <w:b/>
                <w:bCs/>
                <w:color w:val="2E6DB4"/>
                <w:sz w:val="18"/>
                <w:szCs w:val="18"/>
              </w:rPr>
              <w:t xml:space="preserve">AI-R-05</w:t>
            </w:r>
          </w:p>
        </w:tc>
      </w:tr>
    </w:tbl>
    <w:p/>
    <w:p>
      <w:r>
        <w:br w:type="page"/>
      </w:r>
    </w:p>
    <w:p>
      <w:pPr>
        <w:pStyle w:val="Heading1"/>
      </w:pPr>
      <w:r>
        <w:rPr>
          <w:rFonts w:ascii="Arial" w:cs="Arial" w:eastAsia="Arial" w:hAnsi="Arial"/>
          <w:b/>
          <w:bCs/>
          <w:color w:val="1B3A6B"/>
          <w:sz w:val="32"/>
          <w:szCs w:val="32"/>
        </w:rPr>
        <w:t xml:space="preserve">7. Conclusion</w:t>
      </w:r>
    </w:p>
    <w:p>
      <w:pPr>
        <w:spacing w:after="100" w:before="60"/>
        <w:jc w:val="left"/>
      </w:pPr>
      <w:r>
        <w:rPr>
          <w:rFonts w:ascii="Arial" w:cs="Arial" w:eastAsia="Arial" w:hAnsi="Arial"/>
          <w:color w:val="000000"/>
          <w:sz w:val="22"/>
          <w:szCs w:val="22"/>
        </w:rPr>
        <w:t xml:space="preserve">NovaSphere Technologies is at a pivotal point in its AI adoption journey. The organization has deployed three AI-enabled systems that deliver measurable product value, but has not yet built the governance, testing, or vendor management infrastructure required to manage the associated risks responsibly.</w:t>
      </w:r>
    </w:p>
    <w:p>
      <w:pPr>
        <w:spacing w:after="100" w:before="60"/>
        <w:jc w:val="left"/>
      </w:pPr>
      <w:r>
        <w:rPr>
          <w:rFonts w:ascii="Arial" w:cs="Arial" w:eastAsia="Arial" w:hAnsi="Arial"/>
          <w:color w:val="000000"/>
          <w:sz w:val="22"/>
          <w:szCs w:val="22"/>
        </w:rPr>
        <w:t xml:space="preserve">The immediate priority is closing the three critical gaps identified in Findings F-01 through F-03: establishing an AI Acceptable Use Policy, conducting adversarial testing of NovaSphere Assist, and creating an AI Incident Response Playbook. These actions can be completed within 30 days and will materially reduce the organization's exposure before the next product release cycle. </w:t>
      </w:r>
      <w:r>
        <w:rPr>
          <w:rFonts w:ascii="Arial" w:cs="Arial" w:eastAsia="Arial" w:hAnsi="Arial"/>
          <w:color w:val="000000"/>
          <w:sz w:val="22"/>
          <w:szCs w:val="22"/>
        </w:rPr>
        <w:t xml:space="preserve">The near- and strategic-term roadmap builds toward a structured AI governance program aligned to both NIST AI RMF and ISO/IEC 42001, positioning NovaSphere to demonstrate AI trustworthiness to enterprise customers, regulators, and partners.</w:t>
      </w:r>
    </w:p>
    <w:p>
      <w:pPr>
        <w:spacing w:after="100" w:before="60"/>
        <w:jc w:val="left"/>
      </w:pPr>
      <w:r>
        <w:rPr>
          <w:rFonts w:ascii="Arial" w:cs="Arial" w:eastAsia="Arial" w:hAnsi="Arial"/>
          <w:color w:val="000000"/>
          <w:sz w:val="22"/>
          <w:szCs w:val="22"/>
        </w:rPr>
        <w:t xml:space="preserve">With focused investment, NovaSphere has the foundational security maturity to achieve a </w:t>
      </w:r>
      <w:r>
        <w:rPr>
          <w:rFonts w:ascii="Arial" w:cs="Arial" w:eastAsia="Arial" w:hAnsi="Arial"/>
          <w:b/>
          <w:bCs/>
          <w:color w:val="000000"/>
          <w:sz w:val="22"/>
          <w:szCs w:val="22"/>
        </w:rPr>
        <w:t xml:space="preserve">Low residual AI risk posture</w:t>
      </w:r>
      <w:r>
        <w:rPr>
          <w:rFonts w:ascii="Arial" w:cs="Arial" w:eastAsia="Arial" w:hAnsi="Arial"/>
          <w:color w:val="000000"/>
          <w:sz w:val="22"/>
          <w:szCs w:val="22"/>
        </w:rPr>
        <w:t xml:space="preserve"> within 180 days of implementing the recommendations in this report.</w:t>
      </w:r>
    </w:p>
    <w:p/>
    <w:p/>
    <w:p>
      <w:pPr>
        <w:pBdr>
          <w:top w:val="single" w:color="2E6DB4" w:sz="6" w:space="8"/>
        </w:pBdr>
        <w:spacing w:after="80" w:before="200"/>
      </w:pPr>
      <w:r>
        <w:rPr>
          <w:rFonts w:ascii="Arial" w:cs="Arial" w:eastAsia="Arial" w:hAnsi="Arial"/>
          <w:b/>
          <w:bCs/>
          <w:color w:val="1B3A6B"/>
          <w:sz w:val="22"/>
          <w:szCs w:val="22"/>
        </w:rPr>
        <w:t xml:space="preserve">Prepared by: </w:t>
      </w:r>
      <w:r>
        <w:rPr>
          <w:rFonts w:ascii="Arial" w:cs="Arial" w:eastAsia="Arial" w:hAnsi="Arial"/>
          <w:color w:val="000000"/>
          <w:sz w:val="22"/>
          <w:szCs w:val="22"/>
        </w:rPr>
        <w:t xml:space="preserve">Shankar | AI Governance &amp; Cybersecurity Consulting</w:t>
      </w:r>
    </w:p>
    <w:p>
      <w:pPr>
        <w:spacing w:after="100" w:before="60"/>
        <w:jc w:val="left"/>
      </w:pPr>
      <w:r>
        <w:rPr>
          <w:rFonts w:ascii="Arial" w:cs="Arial" w:eastAsia="Arial" w:hAnsi="Arial"/>
          <w:b/>
          <w:bCs/>
          <w:color w:val="1B3A6B"/>
          <w:sz w:val="22"/>
          <w:szCs w:val="22"/>
        </w:rPr>
        <w:t xml:space="preserve">Frameworks: </w:t>
      </w:r>
      <w:r>
        <w:rPr>
          <w:rFonts w:ascii="Arial" w:cs="Arial" w:eastAsia="Arial" w:hAnsi="Arial"/>
          <w:color w:val="000000"/>
          <w:sz w:val="22"/>
          <w:szCs w:val="22"/>
        </w:rPr>
        <w:t xml:space="preserve">NIST AI RMF 1.0 | ISO/IEC 42001:2023</w:t>
      </w:r>
    </w:p>
    <w:p>
      <w:pPr>
        <w:spacing w:after="100" w:before="60"/>
        <w:jc w:val="left"/>
      </w:pPr>
      <w:r>
        <w:rPr>
          <w:rFonts w:ascii="Arial" w:cs="Arial" w:eastAsia="Arial" w:hAnsi="Arial"/>
          <w:b/>
          <w:bCs/>
          <w:color w:val="1B3A6B"/>
          <w:sz w:val="22"/>
          <w:szCs w:val="22"/>
        </w:rPr>
        <w:t xml:space="preserve">Date: </w:t>
      </w:r>
      <w:r>
        <w:rPr>
          <w:rFonts w:ascii="Arial" w:cs="Arial" w:eastAsia="Arial" w:hAnsi="Arial"/>
          <w:color w:val="000000"/>
          <w:sz w:val="22"/>
          <w:szCs w:val="22"/>
        </w:rPr>
        <w:t xml:space="preserve">April 2026</w:t>
      </w:r>
    </w:p>
    <w:p>
      <w:pPr>
        <w:spacing w:after="100" w:before="60"/>
        <w:jc w:val="left"/>
      </w:pPr>
      <w:r>
        <w:rPr>
          <w:rFonts w:ascii="Arial" w:cs="Arial" w:eastAsia="Arial" w:hAnsi="Arial"/>
          <w:b/>
          <w:bCs/>
          <w:color w:val="1B3A6B"/>
          <w:sz w:val="22"/>
          <w:szCs w:val="22"/>
        </w:rPr>
        <w:t xml:space="preserve">Classification: </w:t>
      </w:r>
      <w:r>
        <w:rPr>
          <w:rFonts w:ascii="Arial" w:cs="Arial" w:eastAsia="Arial" w:hAnsi="Arial"/>
          <w:color w:val="000000"/>
          <w:sz w:val="22"/>
          <w:szCs w:val="22"/>
        </w:rPr>
        <w:t xml:space="preserve">CONFIDENTIAL — For authorized recipient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4" w:space="4"/>
      </w:pBdr>
      <w:tabs>
        <w:tab w:val="right" w:pos="9360"/>
      </w:tabs>
      <w:spacing w:before="120"/>
    </w:pPr>
    <w:r>
      <w:rPr>
        <w:rFonts w:ascii="Arial" w:cs="Arial" w:eastAsia="Arial" w:hAnsi="Arial"/>
        <w:color w:val="888888"/>
        <w:sz w:val="16"/>
        <w:szCs w:val="16"/>
      </w:rPr>
      <w:t xml:space="preserve">AI Governance &amp; Risk Assessment | April 2026</w:t>
    </w:r>
    <w:r>
      <w:rPr>
        <w:rFonts w:ascii="Arial" w:cs="Arial" w:eastAsia="Arial" w:hAnsi="Arial"/>
      </w:rP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4"/>
      </w:pBdr>
      <w:tabs>
        <w:tab w:val="right" w:pos="9360"/>
      </w:tabs>
      <w:spacing w:after="120"/>
    </w:pPr>
    <w:r>
      <w:rPr>
        <w:rFonts w:ascii="Arial" w:cs="Arial" w:eastAsia="Arial" w:hAnsi="Arial"/>
        <w:color w:val="888888"/>
        <w:sz w:val="16"/>
        <w:szCs w:val="16"/>
      </w:rPr>
      <w:t xml:space="preserve">NovaSphere Technologies | AI Governance &amp; Risk Assessment</w:t>
    </w:r>
    <w:r>
      <w:rPr>
        <w:rFonts w:ascii="Arial" w:cs="Arial" w:eastAsia="Arial" w:hAnsi="Arial"/>
        <w:sz w:val="16"/>
        <w:szCs w:val="16"/>
      </w:rPr>
      <w:t xml:space="preserve">	</w:t>
    </w:r>
    <w:r>
      <w:rPr>
        <w:rFonts w:ascii="Arial" w:cs="Arial" w:eastAsia="Arial" w:hAnsi="Arial"/>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DB4" w:sz="6" w:space="4"/>
      </w:pBd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6DB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2026-04-14T02:30:18.785Z</dcterms:created>
  <dcterms:modified xsi:type="dcterms:W3CDTF">2026-04-14T02:30:18.786Z</dcterms:modified>
</cp:coreProperties>
</file>

<file path=docProps/custom.xml><?xml version="1.0" encoding="utf-8"?>
<Properties xmlns="http://schemas.openxmlformats.org/officeDocument/2006/custom-properties" xmlns:vt="http://schemas.openxmlformats.org/officeDocument/2006/docPropsVTypes"/>
</file>