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80" w:before="0"/>
        <w:jc w:val="center"/>
      </w:pPr>
      <w:r>
        <w:rPr>
          <w:rFonts w:ascii="Arial" w:cs="Arial" w:eastAsia="Arial" w:hAnsi="Arial"/>
          <w:b/>
          <w:bCs/>
          <w:caps/>
          <w:color w:val="1B3A6B"/>
          <w:sz w:val="52"/>
          <w:szCs w:val="52"/>
        </w:rPr>
        <w:t xml:space="preserve">KUBO TECHNOLOGIES</w:t>
      </w:r>
    </w:p>
    <w:p>
      <w:pPr>
        <w:spacing w:after="160" w:before="0"/>
        <w:jc w:val="center"/>
      </w:pPr>
      <w:r>
        <w:rPr>
          <w:rFonts w:ascii="Arial" w:cs="Arial" w:eastAsia="Arial" w:hAnsi="Arial"/>
          <w:color w:val="4A4A4A"/>
          <w:sz w:val="28"/>
          <w:szCs w:val="28"/>
        </w:rPr>
        <w:t xml:space="preserve">BitNet + TurboQuant Ablation Study</w:t>
      </w:r>
    </w:p>
    <w:p>
      <w:pPr>
        <w:pBdr>
          <w:bottom w:val="single" w:color="2E6DB4" w:sz="12" w:space="8"/>
        </w:pBdr>
        <w:spacing w:after="640" w:before="0"/>
        <w:jc w:val="center"/>
      </w:pPr>
      <w:r>
        <w:rPr>
          <w:rFonts w:ascii="Arial" w:cs="Arial" w:eastAsia="Arial" w:hAnsi="Arial"/>
          <w:color w:val="2E6DB4"/>
          <w:sz w:val="40"/>
          <w:szCs w:val="40"/>
        </w:rPr>
        <w:t xml:space="preserve">Model Risk Assessment</w:t>
      </w:r>
    </w:p>
    <w:p/>
    <w:p>
      <w:pPr>
        <w:spacing w:after="120" w:before="0"/>
        <w:jc w:val="center"/>
      </w:pPr>
      <w:r>
        <w:rPr>
          <w:rFonts w:ascii="Arial" w:cs="Arial" w:eastAsia="Arial" w:hAnsi="Arial"/>
          <w:b/>
          <w:bCs/>
          <w:caps/>
          <w:color w:val="C0392B"/>
          <w:sz w:val="24"/>
          <w:szCs w:val="24"/>
        </w:rPr>
        <w:t xml:space="preserve">CONFIDENTIAL</w:t>
      </w:r>
    </w:p>
    <w:p>
      <w:pPr>
        <w:spacing w:after="120" w:before="0"/>
        <w:jc w:val="center"/>
      </w:pPr>
      <w:r>
        <w:rPr>
          <w:rFonts w:ascii="Arial" w:cs="Arial" w:eastAsia="Arial" w:hAnsi="Arial"/>
          <w:color w:val="4A4A4A"/>
          <w:sz w:val="22"/>
          <w:szCs w:val="22"/>
        </w:rPr>
        <w:t xml:space="preserve">Prepared by: Shankar | AI Governance &amp; Cybersecurity Consulting</w:t>
      </w:r>
    </w:p>
    <w:p>
      <w:pPr>
        <w:spacing w:after="120" w:before="0"/>
        <w:jc w:val="center"/>
      </w:pPr>
      <w:r>
        <w:rPr>
          <w:rFonts w:ascii="Arial" w:cs="Arial" w:eastAsia="Arial" w:hAnsi="Arial"/>
          <w:color w:val="4A4A4A"/>
          <w:sz w:val="22"/>
          <w:szCs w:val="22"/>
        </w:rPr>
        <w:t xml:space="preserve">Assessment Date: April 2026</w:t>
      </w:r>
    </w:p>
    <w:p>
      <w:pPr>
        <w:spacing w:after="120" w:before="0"/>
        <w:jc w:val="center"/>
      </w:pPr>
      <w:r>
        <w:rPr>
          <w:rFonts w:ascii="Arial" w:cs="Arial" w:eastAsia="Arial" w:hAnsi="Arial"/>
          <w:color w:val="4A4A4A"/>
          <w:sz w:val="22"/>
          <w:szCs w:val="22"/>
        </w:rPr>
        <w:t xml:space="preserve">Document Version: 1.0</w:t>
      </w:r>
    </w:p>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4A4A4A"/>
                <w:sz w:val="18"/>
                <w:szCs w:val="18"/>
              </w:rPr>
              <w:t xml:space="preserve">PORTFOLIO NOTE: </w:t>
            </w:r>
            <w:r>
              <w:rPr>
                <w:rFonts w:ascii="Arial" w:cs="Arial" w:eastAsia="Arial" w:hAnsi="Arial"/>
                <w:color w:val="4A4A4A"/>
                <w:sz w:val="18"/>
                <w:szCs w:val="18"/>
              </w:rPr>
              <w:t xml:space="preserve">This report is a portfolio project demonstrating the application of AI governance methodology (NIST AI RMF 1.0, ISO/IEC 42001:2023) to a real machine learning ablation study. The ablation study was conducted for Kubo Technologies. All governance findings, risk assessments, and recommendations are analytical outputs produced for portfolio demonstration purposes.</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6B"/>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18"/>
                <w:szCs w:val="18"/>
              </w:rPr>
              <w:t xml:space="preserve">BLUF</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top"/>
          </w:tcPr>
          <w:p>
            <w:pPr>
              <w:spacing w:after="0" w:before="0"/>
            </w:pPr>
            <w:r>
              <w:rPr>
                <w:rFonts w:ascii="Arial" w:cs="Arial" w:eastAsia="Arial" w:hAnsi="Arial"/>
                <w:color w:val="000000"/>
                <w:sz w:val="20"/>
                <w:szCs w:val="20"/>
              </w:rPr>
              <w:t xml:space="preserve">Neither BitNet nor TurboQuant is ready for production deployment based on the current ablation study evidence. Two </w:t>
            </w:r>
            <w:r>
              <w:rPr>
                <w:rFonts w:ascii="Arial" w:cs="Arial" w:eastAsia="Arial" w:hAnsi="Arial"/>
                <w:b/>
                <w:bCs/>
                <w:color w:val="C0392B"/>
                <w:sz w:val="20"/>
                <w:szCs w:val="20"/>
              </w:rPr>
              <w:t xml:space="preserve">Critical</w:t>
            </w:r>
            <w:r>
              <w:rPr>
                <w:rFonts w:ascii="Arial" w:cs="Arial" w:eastAsia="Arial" w:hAnsi="Arial"/>
                <w:color w:val="000000"/>
                <w:sz w:val="20"/>
                <w:szCs w:val="20"/>
              </w:rPr>
              <w:t xml:space="preserve"> risks and four </w:t>
            </w:r>
            <w:r>
              <w:rPr>
                <w:rFonts w:ascii="Arial" w:cs="Arial" w:eastAsia="Arial" w:hAnsi="Arial"/>
                <w:b/>
                <w:bCs/>
                <w:color w:val="E67E22"/>
                <w:sz w:val="20"/>
                <w:szCs w:val="20"/>
              </w:rPr>
              <w:t xml:space="preserve">High</w:t>
            </w:r>
            <w:r>
              <w:rPr>
                <w:rFonts w:ascii="Arial" w:cs="Arial" w:eastAsia="Arial" w:hAnsi="Arial"/>
                <w:color w:val="000000"/>
                <w:sz w:val="20"/>
                <w:szCs w:val="20"/>
              </w:rPr>
              <w:t xml:space="preserve"> risks were identified. The study lacks a performance acceptance threshold, TurboQuant's primary benefit was not evaluated under hardware constraints, and no production lifecycle controls exist. Three findings require resolution before any deployment decision can be made on objective grounds.</w:t>
            </w:r>
          </w:p>
        </w:tc>
      </w:tr>
    </w:tbl>
    <w:p/>
    <w:p>
      <w:pPr>
        <w:spacing w:after="100" w:before="60"/>
        <w:jc w:val="left"/>
      </w:pPr>
      <w:r>
        <w:rPr>
          <w:rFonts w:ascii="Arial" w:cs="Arial" w:eastAsia="Arial" w:hAnsi="Arial"/>
          <w:color w:val="000000"/>
          <w:sz w:val="22"/>
          <w:szCs w:val="22"/>
        </w:rPr>
        <w:t xml:space="preserve">This report presents a model risk assessment of the BitNet + TurboQuant ablation study conducted for Kubo Technologies. The study trained a 25M parameter GPT-style language model and compared two compression techniques: BitNet ternary weight quantization and TurboQuant KV cache compression. The assessment applies the </w:t>
      </w:r>
      <w:r>
        <w:rPr>
          <w:rFonts w:ascii="Arial" w:cs="Arial" w:eastAsia="Arial" w:hAnsi="Arial"/>
          <w:b/>
          <w:bCs/>
          <w:color w:val="000000"/>
          <w:sz w:val="22"/>
          <w:szCs w:val="22"/>
        </w:rPr>
        <w:t xml:space="preserve">NIST AI Risk Management Framework (AI RMF 1.0)</w:t>
      </w:r>
      <w:r>
        <w:rPr>
          <w:rFonts w:ascii="Arial" w:cs="Arial" w:eastAsia="Arial" w:hAnsi="Arial"/>
          <w:color w:val="000000"/>
          <w:sz w:val="22"/>
          <w:szCs w:val="22"/>
        </w:rPr>
        <w:t xml:space="preserve"> and </w:t>
      </w:r>
      <w:r>
        <w:rPr>
          <w:rFonts w:ascii="Arial" w:cs="Arial" w:eastAsia="Arial" w:hAnsi="Arial"/>
          <w:b/>
          <w:bCs/>
          <w:color w:val="000000"/>
          <w:sz w:val="22"/>
          <w:szCs w:val="22"/>
        </w:rPr>
        <w:t xml:space="preserve">ISO/IEC 42001:2023</w:t>
      </w:r>
      <w:r>
        <w:rPr>
          <w:rFonts w:ascii="Arial" w:cs="Arial" w:eastAsia="Arial" w:hAnsi="Arial"/>
          <w:color w:val="000000"/>
          <w:sz w:val="22"/>
          <w:szCs w:val="22"/>
        </w:rPr>
        <w:t xml:space="preserve"> to evaluate whether the study's findings provide a sufficient evidence base for a production deployment decision.</w:t>
      </w:r>
    </w:p>
    <w:p>
      <w:pPr>
        <w:spacing w:after="100" w:before="60"/>
        <w:jc w:val="left"/>
      </w:pPr>
      <w:r>
        <w:rPr>
          <w:rFonts w:ascii="Arial" w:cs="Arial" w:eastAsia="Arial" w:hAnsi="Arial"/>
          <w:color w:val="000000"/>
          <w:sz w:val="22"/>
          <w:szCs w:val="22"/>
        </w:rPr>
        <w:t xml:space="preserve">The assessment identified eight model-specific risks, three detailed findings, and a phased remediation roadmap. The overall risk posture is Critical. The study produced technically valid comparative data, but three governance gaps prevent a responsible deployment decision: no acceptance threshold, an untested primary use case, and absent production lifecycle controls.</w:t>
      </w:r>
    </w:p>
    <w:p/>
    <w:p>
      <w:pPr>
        <w:pStyle w:val="Heading2"/>
      </w:pPr>
      <w:r>
        <w:rPr>
          <w:rFonts w:ascii="Arial" w:cs="Arial" w:eastAsia="Arial" w:hAnsi="Arial"/>
          <w:b/>
          <w:bCs/>
          <w:color w:val="1B3A6B"/>
          <w:sz w:val="26"/>
          <w:szCs w:val="26"/>
        </w:rPr>
        <w:t xml:space="preserve">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Result</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Study Subject</w:t>
            </w:r>
          </w:p>
        </w:tc>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BitNet Ternary Quantization vs. TurboQuant KV Cache Compression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Model Scale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25M parameters, trained on 500M tokens</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Hardware</w:t>
            </w:r>
          </w:p>
        </w:tc>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NVIDIA GeForce RTX 3070 (8GB VRAM)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Frameworks Applied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NIST AI RMF 1.0; ISO/IEC 42001:2023</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Baseline Perplexity</w:t>
            </w:r>
          </w:p>
        </w:tc>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4.24 (train loss 1.4650, val loss 1.4446)</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BitNet Perplexity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5.93 (train loss 1.8018, val loss 1.7799) — 39% degradation</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TurboQuant Perplexity Delta</w:t>
            </w:r>
          </w:p>
        </w:tc>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+0.27 to +0.56 (3-5% degradation)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TurboQuant Memory Benefit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Not demonstrated at tested context lengths</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Total Risks Identified</w:t>
            </w:r>
          </w:p>
        </w:tc>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Critical Risks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High Risks</w:t>
            </w:r>
          </w:p>
        </w:tc>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Medium Risks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Total Findings</w:t>
            </w:r>
          </w:p>
        </w:tc>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3</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Overall Risk Posture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C0392B"/>
                <w:sz w:val="18"/>
                <w:szCs w:val="18"/>
              </w:rPr>
              <w:t xml:space="preserve">CRITICAL — Deployment not recommended without remediation</w:t>
            </w:r>
          </w:p>
        </w:tc>
      </w:tr>
    </w:tbl>
    <w:p/>
    <w:p>
      <w:r>
        <w:br w:type="page"/>
      </w:r>
    </w:p>
    <w:p>
      <w:pPr>
        <w:pStyle w:val="Heading1"/>
      </w:pPr>
      <w:r>
        <w:rPr>
          <w:rFonts w:ascii="Arial" w:cs="Arial" w:eastAsia="Arial" w:hAnsi="Arial"/>
          <w:b/>
          <w:bCs/>
          <w:color w:val="1B3A6B"/>
          <w:sz w:val="32"/>
          <w:szCs w:val="32"/>
        </w:rPr>
        <w:t xml:space="preserve">2. Study Context and Scope</w:t>
      </w:r>
    </w:p>
    <w:p>
      <w:pPr>
        <w:pStyle w:val="Heading2"/>
      </w:pPr>
      <w:r>
        <w:rPr>
          <w:rFonts w:ascii="Arial" w:cs="Arial" w:eastAsia="Arial" w:hAnsi="Arial"/>
          <w:b/>
          <w:bCs/>
          <w:color w:val="1B3A6B"/>
          <w:sz w:val="26"/>
          <w:szCs w:val="26"/>
        </w:rPr>
        <w:t xml:space="preserve">2.1 Technical Background</w:t>
      </w:r>
    </w:p>
    <w:p>
      <w:pPr>
        <w:spacing w:after="100" w:before="60"/>
        <w:jc w:val="left"/>
      </w:pPr>
      <w:r>
        <w:rPr>
          <w:rFonts w:ascii="Arial" w:cs="Arial" w:eastAsia="Arial" w:hAnsi="Arial"/>
          <w:color w:val="000000"/>
          <w:sz w:val="22"/>
          <w:szCs w:val="22"/>
        </w:rPr>
        <w:t xml:space="preserve">The ablation study evaluated two model compression techniques on a GPT-style language model trained from scratch. The study was conducted as an independent technical engagement for Kubo Technologies. The assessor built up the necessary ML knowledge from scratch, trained the baseline model, implemented both compression variants, and produced comparative performance data.</w:t>
      </w:r>
    </w:p>
    <w:p>
      <w:pPr>
        <w:pStyle w:val="Heading2"/>
      </w:pPr>
      <w:r>
        <w:rPr>
          <w:rFonts w:ascii="Arial" w:cs="Arial" w:eastAsia="Arial" w:hAnsi="Arial"/>
          <w:b/>
          <w:bCs/>
          <w:color w:val="1B3A6B"/>
          <w:sz w:val="26"/>
          <w:szCs w:val="26"/>
        </w:rPr>
        <w:t xml:space="preserve">2.2 Model and Techniques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Component</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Specification</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Baseline Model</w:t>
            </w:r>
          </w:p>
        </w:tc>
        <w:tc>
          <w:tcPr>
            <w:tcW w:type="dxa" w:w="26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25M parameters, 6 layers, 6 heads, 384 embedding dim</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Uncompressed GPT trained on Shakespeare character-level data. Train loss 1.4650, val loss 1.4446, perplexity 4.24. Reference for all comparisons.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BitNet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Ternary weight quantization (weights: -1, 0, +1)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Replaces 32-bit floating point linear layer weights with ternary values. Reduces model storage size but introduces accuracy penalty from precision loss.</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TurboQuant</w:t>
            </w:r>
          </w:p>
        </w:tc>
        <w:tc>
          <w:tcPr>
            <w:tcW w:type="dxa" w:w="26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Asymmetric KV cache quantization</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Compresses the key-value cache used in attention mechanisms during inference. Designed to reduce memory consumption at long context lengths (4,096+ tokens).</w:t>
            </w:r>
          </w:p>
        </w:tc>
      </w:tr>
    </w:tbl>
    <w:p/>
    <w:p>
      <w:pPr>
        <w:pStyle w:val="Heading2"/>
      </w:pPr>
      <w:r>
        <w:rPr>
          <w:rFonts w:ascii="Arial" w:cs="Arial" w:eastAsia="Arial" w:hAnsi="Arial"/>
          <w:b/>
          <w:bCs/>
          <w:color w:val="1B3A6B"/>
          <w:sz w:val="26"/>
          <w:szCs w:val="26"/>
        </w:rPr>
        <w:t xml:space="preserve">2.3 Key Quantitative Findings from the Ablation Study</w:t>
      </w:r>
    </w:p>
    <w:p>
      <w:pPr>
        <w:spacing w:after="100" w:before="60"/>
        <w:jc w:val="left"/>
      </w:pPr>
      <w:r>
        <w:rPr>
          <w:rFonts w:ascii="Arial" w:cs="Arial" w:eastAsia="Arial" w:hAnsi="Arial"/>
          <w:color w:val="000000"/>
          <w:sz w:val="22"/>
          <w:szCs w:val="22"/>
        </w:rPr>
        <w:t xml:space="preserve">The following results are the evidence base for this risk assessment. All findings in Section 3 and all risks in Section 4 derive directly from these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560"/>
        <w:gridCol w:w="1800"/>
      </w:tblGrid>
      <w:tr>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Model</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Context</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Std Perplexity</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Std Memory (MB)</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TQ Perplexity</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TQ Memory (MB)</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PPL Delta</w:t>
            </w:r>
          </w:p>
        </w:tc>
      </w:tr>
      <w:tr>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Baseline</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128</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8.32</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198.0</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8.63</w:t>
            </w:r>
          </w:p>
        </w:tc>
        <w:tc>
          <w:tcPr>
            <w:tcW w:type="dxa" w:w="1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198.0</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1E8449"/>
                <w:sz w:val="18"/>
                <w:szCs w:val="18"/>
              </w:rPr>
              <w:t xml:space="preserve">+0.31 (3.7%)</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Baseline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256</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7.47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271.9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7.82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272.0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1E8449"/>
                <w:sz w:val="18"/>
                <w:szCs w:val="18"/>
              </w:rPr>
              <w:t xml:space="preserve">+0.35 (4.7%)</w:t>
            </w:r>
          </w:p>
        </w:tc>
      </w:tr>
      <w:tr>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Baseline</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512</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6.36</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420.4</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6.63</w:t>
            </w:r>
          </w:p>
        </w:tc>
        <w:tc>
          <w:tcPr>
            <w:tcW w:type="dxa" w:w="1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420.5</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1E8449"/>
                <w:sz w:val="18"/>
                <w:szCs w:val="18"/>
              </w:rPr>
              <w:t xml:space="preserve">+0.27 (4.2%)</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BitNet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128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11.27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212.3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11.83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212.4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1E8449"/>
                <w:sz w:val="18"/>
                <w:szCs w:val="18"/>
              </w:rPr>
              <w:t xml:space="preserve">+0.56 (5.0%)</w:t>
            </w:r>
          </w:p>
        </w:tc>
      </w:tr>
      <w:tr>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BitNet</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256</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10.05</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286.3</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10.60</w:t>
            </w:r>
          </w:p>
        </w:tc>
        <w:tc>
          <w:tcPr>
            <w:tcW w:type="dxa" w:w="1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286.3</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1E8449"/>
                <w:sz w:val="18"/>
                <w:szCs w:val="18"/>
              </w:rPr>
              <w:t xml:space="preserve">+0.55 (5.5%)</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BitNet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512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8.65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434.8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9.13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434.9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1E8449"/>
                <w:sz w:val="18"/>
                <w:szCs w:val="18"/>
              </w:rPr>
              <w:t xml:space="preserve">+0.48 (5.5%)</w:t>
            </w:r>
          </w:p>
        </w:tc>
      </w:tr>
    </w:tbl>
    <w:p/>
    <w:p>
      <w:pPr>
        <w:spacing w:after="100" w:before="60"/>
        <w:jc w:val="left"/>
      </w:pPr>
      <w:r>
        <w:rPr>
          <w:rFonts w:ascii="Arial" w:cs="Arial" w:eastAsia="Arial" w:hAnsi="Arial"/>
          <w:b/>
          <w:bCs/>
          <w:color w:val="1B3A6B"/>
          <w:sz w:val="22"/>
          <w:szCs w:val="22"/>
        </w:rPr>
        <w:t xml:space="preserve">Key observation: </w:t>
      </w:r>
      <w:r>
        <w:rPr>
          <w:rFonts w:ascii="Arial" w:cs="Arial" w:eastAsia="Arial" w:hAnsi="Arial"/>
          <w:color w:val="000000"/>
          <w:sz w:val="22"/>
          <w:szCs w:val="22"/>
        </w:rPr>
        <w:t xml:space="preserve">Memory consumption is nearly identical between standard and TurboQuant configurations at all tested context lengths. At 512 tokens, model weights dominate VRAM and the KV cache is not the primary memory consumer. TurboQuant's memory benefit is expected to materialize at context lengths of 4,096 tokens and above, which were outside the hardware capability of the evaluation environment.</w:t>
      </w:r>
    </w:p>
    <w:p/>
    <w:p>
      <w:pPr>
        <w:pStyle w:val="Heading2"/>
      </w:pPr>
      <w:r>
        <w:rPr>
          <w:rFonts w:ascii="Arial" w:cs="Arial" w:eastAsia="Arial" w:hAnsi="Arial"/>
          <w:b/>
          <w:bCs/>
          <w:color w:val="1B3A6B"/>
          <w:sz w:val="26"/>
          <w:szCs w:val="26"/>
        </w:rPr>
        <w:t xml:space="preserve">2.4 Assessment Methodology</w:t>
      </w:r>
    </w:p>
    <w:p>
      <w:pPr>
        <w:spacing w:after="100" w:before="60"/>
        <w:jc w:val="left"/>
      </w:pPr>
      <w:r>
        <w:rPr>
          <w:rFonts w:ascii="Arial" w:cs="Arial" w:eastAsia="Arial" w:hAnsi="Arial"/>
          <w:color w:val="000000"/>
          <w:sz w:val="22"/>
          <w:szCs w:val="22"/>
        </w:rPr>
        <w:t xml:space="preserve">The assessment applied the four NIST AI RMF core functions as a structured analytical methodology, with findings mapped to ISO/IEC 42001:2023 clause and Annex A control requirements.</w:t>
      </w:r>
    </w:p>
    <w:p>
      <w:pPr>
        <w:pStyle w:val="ListParagraph"/>
        <w:numPr>
          <w:ilvl w:val="0"/>
          <w:numId w:val="2"/>
        </w:numPr>
        <w:spacing w:after="40" w:before="40"/>
      </w:pPr>
      <w:r>
        <w:rPr>
          <w:rFonts w:ascii="Arial" w:cs="Arial" w:eastAsia="Arial" w:hAnsi="Arial"/>
          <w:b/>
          <w:bCs/>
          <w:color w:val="1B3A6B"/>
          <w:sz w:val="22"/>
          <w:szCs w:val="22"/>
        </w:rPr>
        <w:t xml:space="preserve">GOVERN: </w:t>
      </w:r>
      <w:r>
        <w:rPr>
          <w:rFonts w:ascii="Arial" w:cs="Arial" w:eastAsia="Arial" w:hAnsi="Arial"/>
          <w:color w:val="000000"/>
          <w:sz w:val="22"/>
          <w:szCs w:val="22"/>
        </w:rPr>
        <w:t xml:space="preserve">Reviewed accountability structures, performance criteria documentation, and model ownership for both baseline and compressed model variants.</w:t>
      </w:r>
    </w:p>
    <w:p>
      <w:pPr>
        <w:pStyle w:val="ListParagraph"/>
        <w:numPr>
          <w:ilvl w:val="0"/>
          <w:numId w:val="2"/>
        </w:numPr>
        <w:spacing w:after="40" w:before="40"/>
      </w:pPr>
      <w:r>
        <w:rPr>
          <w:rFonts w:ascii="Arial" w:cs="Arial" w:eastAsia="Arial" w:hAnsi="Arial"/>
          <w:b/>
          <w:bCs/>
          <w:color w:val="1B3A6B"/>
          <w:sz w:val="22"/>
          <w:szCs w:val="22"/>
        </w:rPr>
        <w:t xml:space="preserve">MAP: </w:t>
      </w:r>
      <w:r>
        <w:rPr>
          <w:rFonts w:ascii="Arial" w:cs="Arial" w:eastAsia="Arial" w:hAnsi="Arial"/>
          <w:color w:val="000000"/>
          <w:sz w:val="22"/>
          <w:szCs w:val="22"/>
        </w:rPr>
        <w:t xml:space="preserve">Assessed use case context, production representativeness of evaluation conditions, and identified categories of risk applicable to each compression technique.</w:t>
      </w:r>
    </w:p>
    <w:p>
      <w:pPr>
        <w:pStyle w:val="ListParagraph"/>
        <w:numPr>
          <w:ilvl w:val="0"/>
          <w:numId w:val="2"/>
        </w:numPr>
        <w:spacing w:after="40" w:before="40"/>
      </w:pPr>
      <w:r>
        <w:rPr>
          <w:rFonts w:ascii="Arial" w:cs="Arial" w:eastAsia="Arial" w:hAnsi="Arial"/>
          <w:b/>
          <w:bCs/>
          <w:color w:val="1B3A6B"/>
          <w:sz w:val="22"/>
          <w:szCs w:val="22"/>
        </w:rPr>
        <w:t xml:space="preserve">MEASURE: </w:t>
      </w:r>
      <w:r>
        <w:rPr>
          <w:rFonts w:ascii="Arial" w:cs="Arial" w:eastAsia="Arial" w:hAnsi="Arial"/>
          <w:color w:val="000000"/>
          <w:sz w:val="22"/>
          <w:szCs w:val="22"/>
        </w:rPr>
        <w:t xml:space="preserve">Analyzed the evaluation protocol against best practices for AI system testing, identifying measurement gaps including adversarial robustness, latency, and fairness.</w:t>
      </w:r>
    </w:p>
    <w:p>
      <w:pPr>
        <w:pStyle w:val="ListParagraph"/>
        <w:numPr>
          <w:ilvl w:val="0"/>
          <w:numId w:val="2"/>
        </w:numPr>
        <w:spacing w:after="40" w:before="40"/>
      </w:pPr>
      <w:r>
        <w:rPr>
          <w:rFonts w:ascii="Arial" w:cs="Arial" w:eastAsia="Arial" w:hAnsi="Arial"/>
          <w:b/>
          <w:bCs/>
          <w:color w:val="1B3A6B"/>
          <w:sz w:val="22"/>
          <w:szCs w:val="22"/>
        </w:rPr>
        <w:t xml:space="preserve">MANAGE: </w:t>
      </w:r>
      <w:r>
        <w:rPr>
          <w:rFonts w:ascii="Arial" w:cs="Arial" w:eastAsia="Arial" w:hAnsi="Arial"/>
          <w:color w:val="000000"/>
          <w:sz w:val="22"/>
          <w:szCs w:val="22"/>
        </w:rPr>
        <w:t xml:space="preserve">Evaluated production lifecycle controls including monitoring, incident response, and rollback capability for compressed model deployment scenarios.</w:t>
      </w:r>
    </w:p>
    <w:p/>
    <w:p>
      <w:r>
        <w:br w:type="page"/>
      </w:r>
    </w:p>
    <w:p>
      <w:pPr>
        <w:pStyle w:val="Heading1"/>
      </w:pPr>
      <w:r>
        <w:rPr>
          <w:rFonts w:ascii="Arial" w:cs="Arial" w:eastAsia="Arial" w:hAnsi="Arial"/>
          <w:b/>
          <w:bCs/>
          <w:color w:val="1B3A6B"/>
          <w:sz w:val="32"/>
          <w:szCs w:val="32"/>
        </w:rPr>
        <w:t xml:space="preserve">3. Detailed Findings</w:t>
      </w:r>
    </w:p>
    <w:p>
      <w:pPr>
        <w:spacing w:after="100" w:before="60"/>
        <w:jc w:val="left"/>
      </w:pPr>
      <w:r>
        <w:rPr>
          <w:rFonts w:ascii="Arial" w:cs="Arial" w:eastAsia="Arial" w:hAnsi="Arial"/>
          <w:color w:val="000000"/>
          <w:sz w:val="22"/>
          <w:szCs w:val="22"/>
        </w:rPr>
        <w:t xml:space="preserve">Three findings require remediation before a production deployment decision can be made. Each finding is grounded in the quantitative evidence from the ablation study and mapped to NIST AI RMF and ISO 42001 requirements.</w:t>
      </w:r>
    </w:p>
    <w:p/>
    <w:p>
      <w:pPr>
        <w:pStyle w:val="Heading2"/>
      </w:pPr>
      <w:r>
        <w:rPr>
          <w:rFonts w:ascii="Arial" w:cs="Arial" w:eastAsia="Arial" w:hAnsi="Arial"/>
          <w:b/>
          <w:bCs/>
          <w:color w:val="1B3A6B"/>
          <w:sz w:val="26"/>
          <w:szCs w:val="26"/>
        </w:rPr>
        <w:t xml:space="preserve">F-01: No Performance Acceptance Threshold Defined for Compressed Model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Framework Refs</w:t>
            </w:r>
          </w:p>
        </w:tc>
        <w:tc>
          <w:tcPr>
            <w:tcW w:type="dxa" w:w="7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Mapped Controls</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NIST AI RMF</w:t>
            </w:r>
          </w:p>
        </w:tc>
        <w:tc>
          <w:tcPr>
            <w:tcW w:type="dxa" w:w="7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GOVERN 1.2, MEASURE 2.7</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ISO 42001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6.1.2, Cl. 8.4</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Observation</w:t>
            </w:r>
          </w:p>
        </w:tc>
      </w:tr>
      <w:tr>
        <w:tc>
          <w:tcPr>
            <w:tcW w:type="dxa" w:w="9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The ablation study documents that BitNet ternary quantization produces a train loss of 1.8018, validation loss of 1.7799, and perplexity of 5.93 against a baseline train loss of 1.4650, validation loss of 1.4446, and perplexity of 4.24, representing approximately 39% perplexity degradation. TurboQuant produces perplexity increases of 0.27 to 0.56 (3-5% relative) across tested context lengths. Neither result is compared against a defined threshold for acceptable degradation. No stakeholder has documented what level of accuracy loss is acceptable for the intended production use case. There is no objective criterion against which to approve or reject a deployment decision.</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Business Impact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Without a defined acceptance threshold, the deployment decision for any compressed model variant rests on subjective judgment rather than documented criteria. This creates accountability gaps, prevents meaningful governance review, and means that a deployment could be approved despite unacceptable performance degradation relative to the production use case requirements.</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Recommendation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Before any compressed model deployment, define a quantitative performance acceptance threshold in collaboration with the product owner. Document the intended production use case, user sensitivity to output quality, and the maximum tolerable perplexity increase. Use this threshold as the formal approval criterion in the pre-deployment impact assessment required by ISO 42001 Clause 8.2.</w:t>
            </w:r>
          </w:p>
        </w:tc>
      </w:tr>
    </w:tbl>
    <w:p/>
    <w:p/>
    <w:p>
      <w:pPr>
        <w:pStyle w:val="Heading2"/>
      </w:pPr>
      <w:r>
        <w:rPr>
          <w:rFonts w:ascii="Arial" w:cs="Arial" w:eastAsia="Arial" w:hAnsi="Arial"/>
          <w:b/>
          <w:bCs/>
          <w:color w:val="1B3A6B"/>
          <w:sz w:val="26"/>
          <w:szCs w:val="26"/>
        </w:rPr>
        <w:t xml:space="preserve">F-02: TurboQuant Memory Benefit Not Demonstrated Under Evaluation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Framework Refs</w:t>
            </w:r>
          </w:p>
        </w:tc>
        <w:tc>
          <w:tcPr>
            <w:tcW w:type="dxa" w:w="7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Mapped Controls</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NIST AI RMF</w:t>
            </w:r>
          </w:p>
        </w:tc>
        <w:tc>
          <w:tcPr>
            <w:tcW w:type="dxa" w:w="7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MAP 2.1, MEASURE 2.7</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ISO 42001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8.2, Cl. 8.4</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Observation</w:t>
            </w:r>
          </w:p>
        </w:tc>
      </w:tr>
      <w:tr>
        <w:tc>
          <w:tcPr>
            <w:tcW w:type="dxa" w:w="9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TurboQuant KV cache compression is designed to reduce memory consumption at long-context inference, with claimed benefits materializing above approximately 4,096-token context lengths. The ablation study was constrained to a maximum of 512-token context by the NVIDIA RTX 3070's 8GB VRAM. Memory measurements showed negligible difference between standard and TurboQuant configurations across all tested sequence lengths (128, 256, 512 tokens). The primary use case for TurboQuant was not evaluated.</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Business Impact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The deployment justification for TurboQuant is based on an untested assumption: that the memory benefits observed in the research literature will materialize in Kubo's production environment. A deployment decision made on this basis risks incurring the accuracy penalty of KV cache quantization (3-5% perplexity increase) without realizing the memory benefit that motivated the technique. This constitutes a poor risk-benefit tradeoff made under incomplete information.</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Recommendation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Conduct a targeted evaluation of TurboQuant at context lengths representative of the intended production workload, specifically at 2,048, 4,096, and 8,192 tokens where memory benefits should materialize. If hardware constraints prevent this in the current environment, document the constraint explicitly and defer any TurboQuant deployment decision until evaluation at production-representative context lengths is possible.</w:t>
            </w:r>
          </w:p>
        </w:tc>
      </w:tr>
    </w:tbl>
    <w:p/>
    <w:p/>
    <w:p>
      <w:pPr>
        <w:pStyle w:val="Heading2"/>
      </w:pPr>
      <w:r>
        <w:rPr>
          <w:rFonts w:ascii="Arial" w:cs="Arial" w:eastAsia="Arial" w:hAnsi="Arial"/>
          <w:b/>
          <w:bCs/>
          <w:color w:val="1B3A6B"/>
          <w:sz w:val="26"/>
          <w:szCs w:val="26"/>
        </w:rPr>
        <w:t xml:space="preserve">F-03: Production Lifecycle Controls Absent: No Monitoring, Alerting, or Rollback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Framework Refs</w:t>
            </w:r>
          </w:p>
        </w:tc>
        <w:tc>
          <w:tcPr>
            <w:tcW w:type="dxa" w:w="7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Mapped Controls</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NIST AI RMF</w:t>
            </w:r>
          </w:p>
        </w:tc>
        <w:tc>
          <w:tcPr>
            <w:tcW w:type="dxa" w:w="7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MANAGE 1.3, MANAGE 3.1, MANAGE 4.1</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ISO 42001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8.5, Cl. 8.6, A.8.5</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Observation</w:t>
            </w:r>
          </w:p>
        </w:tc>
      </w:tr>
      <w:tr>
        <w:tc>
          <w:tcPr>
            <w:tcW w:type="dxa" w:w="9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The ablation study has no documented procedure for monitoring compressed model performance in production, detecting output quality degradation over time, or reverting to the baseline model if a compressed variant fails. There is no defined alerting threshold for perplexity drift, no incident classification for model failures, and no tested rollback path to the baseline checkpoint. The baseline model checkpoint exists as a reference artifact in the study, but it is not positioned as a recovery resource in any operational procedure.</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Business Impact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Absent production lifecycle controls, a compressed model that degrades in production due to distributional shift, unexpected input types, or unanticipated compression interactions will produce degraded outputs without detection until users report failures. Without a tested rollback procedure, the recovery path is undefined, extending the duration of any production incident. This is the highest operational risk in the current state of the project.</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Recommendation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Before any compressed model is deployed, develop a model lifecycle plan covering: (1) production monitoring metrics and alerting thresholds for perplexity and output quality; (2) a tested rollback procedure to the baseline checkpoint with a defined responsible owner; (3) an incident classification for AI model failures integrated with the existing incident response process. Document baseline checkpoint storage and retention as a formal recovery resource.</w:t>
            </w:r>
          </w:p>
        </w:tc>
      </w:tr>
    </w:tbl>
    <w:p/>
    <w:p/>
    <w:p>
      <w:r>
        <w:br w:type="page"/>
      </w:r>
    </w:p>
    <w:p>
      <w:pPr>
        <w:pStyle w:val="Heading1"/>
      </w:pPr>
      <w:r>
        <w:rPr>
          <w:rFonts w:ascii="Arial" w:cs="Arial" w:eastAsia="Arial" w:hAnsi="Arial"/>
          <w:b/>
          <w:bCs/>
          <w:color w:val="1B3A6B"/>
          <w:sz w:val="32"/>
          <w:szCs w:val="32"/>
        </w:rPr>
        <w:t xml:space="preserve">4. Model Risk Register</w:t>
      </w:r>
    </w:p>
    <w:p>
      <w:pPr>
        <w:spacing w:after="100" w:before="60"/>
        <w:jc w:val="left"/>
      </w:pPr>
      <w:r>
        <w:rPr>
          <w:rFonts w:ascii="Arial" w:cs="Arial" w:eastAsia="Arial" w:hAnsi="Arial"/>
          <w:color w:val="000000"/>
          <w:sz w:val="22"/>
          <w:szCs w:val="22"/>
        </w:rPr>
        <w:t xml:space="preserve">The risk register documents all identified risks associated with deploying BitNet or TurboQuant compressed models to production. Risks are grounded in the quantitative findings from the ablation study and the governance gaps identified during the assessment.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800"/>
        <w:gridCol w:w="800"/>
        <w:gridCol w:w="1360"/>
        <w:gridCol w:w="1200"/>
        <w:gridCol w:w="160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Risk ID</w:t>
            </w:r>
          </w:p>
        </w:tc>
        <w:tc>
          <w:tcPr>
            <w:tcW w:type="dxa" w:w="1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Description</w:t>
            </w:r>
          </w:p>
        </w:tc>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Likelihood</w:t>
            </w:r>
          </w:p>
        </w:tc>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Impact</w:t>
            </w:r>
          </w:p>
        </w:tc>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Risk Level</w:t>
            </w:r>
          </w:p>
        </w:tc>
        <w:tc>
          <w:tcPr>
            <w:tcW w:type="dxa" w:w="1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NIST AI RMF</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ISO 42001</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Recommended Control</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MR-01</w:t>
            </w:r>
          </w:p>
        </w:tc>
        <w:tc>
          <w:tcPr>
            <w:tcW w:type="dxa" w:w="1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BitNet ternary quantization produces 35-40% perplexity degradation at 25M parameters with no defined acceptance threshold. Deployment decision has no objective basis.</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C0392B"/>
                <w:sz w:val="18"/>
                <w:szCs w:val="18"/>
              </w:rPr>
              <w:t xml:space="preserve">Critical</w:t>
            </w:r>
          </w:p>
        </w:tc>
        <w:tc>
          <w:tcPr>
            <w:tcW w:type="dxa" w:w="1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GOVERN 1.2, MEASURE 2.7</w:t>
            </w:r>
          </w:p>
        </w:tc>
        <w:tc>
          <w:tcPr>
            <w:tcW w:type="dxa" w:w="1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6.1.2, Cl. 8.4</w:t>
            </w:r>
          </w:p>
        </w:tc>
        <w:tc>
          <w:tcPr>
            <w:tcW w:type="dxa" w:w="16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Define a quantitative performance acceptance threshold aligned to the intended production use case before any compressed model deployment decision.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MR-02</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TurboQuant memory benefit was not demonstrated. Hardware constraints capped evaluation at 512-token context; TurboQuant's primary benefit materializes above 4,096 tokens.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C0392B"/>
                <w:sz w:val="18"/>
                <w:szCs w:val="18"/>
              </w:rPr>
              <w:t xml:space="preserve">Critical</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MAP 2.1, MEASURE 2.7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8.2, Cl. 8.4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Conduct evaluation at production-representative context lengths before making any TurboQuant deployment decision.</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MR-03</w:t>
            </w:r>
          </w:p>
        </w:tc>
        <w:tc>
          <w:tcPr>
            <w:tcW w:type="dxa" w:w="1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Training and evaluation used Shakespeare character-level data. If production deployment targets a different domain, compression effects may differ materially from study findings.</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E67E22"/>
                <w:sz w:val="18"/>
                <w:szCs w:val="18"/>
              </w:rPr>
              <w:t xml:space="preserve">High</w:t>
            </w:r>
          </w:p>
        </w:tc>
        <w:tc>
          <w:tcPr>
            <w:tcW w:type="dxa" w:w="1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MAP 2.3, MEASURE 2.2</w:t>
            </w:r>
          </w:p>
        </w:tc>
        <w:tc>
          <w:tcPr>
            <w:tcW w:type="dxa" w:w="1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8.3, A.6.2</w:t>
            </w:r>
          </w:p>
        </w:tc>
        <w:tc>
          <w:tcPr>
            <w:tcW w:type="dxa" w:w="16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Re-evaluate compression techniques on a dataset representative of the intended production domain before deployment.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MR-04</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No production monitoring framework defined. Perplexity drift, output quality degradation, and distributional shift in production have no detection mechanism.</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E67E22"/>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MANAGE 1.3, MEASURE 2.7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8.5, Cl. 9.1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Implement production monitoring for perplexity and output quality metrics with defined alerting thresholds.</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MR-05</w:t>
            </w:r>
          </w:p>
        </w:tc>
        <w:tc>
          <w:tcPr>
            <w:tcW w:type="dxa" w:w="1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No rollback procedure exists. If a compressed model fails in production, there is no defined process to revert to the baseline model.</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E67E22"/>
                <w:sz w:val="18"/>
                <w:szCs w:val="18"/>
              </w:rPr>
              <w:t xml:space="preserve">High</w:t>
            </w:r>
          </w:p>
        </w:tc>
        <w:tc>
          <w:tcPr>
            <w:tcW w:type="dxa" w:w="1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MANAGE 3.1, MANAGE 4.1</w:t>
            </w:r>
          </w:p>
        </w:tc>
        <w:tc>
          <w:tcPr>
            <w:tcW w:type="dxa" w:w="1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8.6, A.8.5</w:t>
            </w:r>
          </w:p>
        </w:tc>
        <w:tc>
          <w:tcPr>
            <w:tcW w:type="dxa" w:w="16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Define and test a rollback procedure to the baseline model before any compressed variant is deployed to production.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MR-06</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Evaluation protocol did not measure adversarial robustness, inference latency, or fairness metrics. Failure modes outside perplexity are unknown.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E67E22"/>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MEASURE 2.5, MEASURE 2.6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8.4, A.8.2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Expand evaluation protocol to include adversarial robustness testing, latency profiling, and fairness metrics before production deployment.</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MR-07</w:t>
            </w:r>
          </w:p>
        </w:tc>
        <w:tc>
          <w:tcPr>
            <w:tcW w:type="dxa" w:w="1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No model owner or accountable role defined for compressed model variants. Deployment accountability is unclear.</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Medium</w:t>
            </w:r>
          </w:p>
        </w:tc>
        <w:tc>
          <w:tcPr>
            <w:tcW w:type="dxa" w:w="1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GOVERN 2.1, GOVERN 2.2</w:t>
            </w:r>
          </w:p>
        </w:tc>
        <w:tc>
          <w:tcPr>
            <w:tcW w:type="dxa" w:w="1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5.3, A.3.1</w:t>
            </w:r>
          </w:p>
        </w:tc>
        <w:tc>
          <w:tcPr>
            <w:tcW w:type="dxa" w:w="16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Assign a named model owner accountable for compressed model performance, monitoring, and lifecycle decisions.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MR-08</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BitNet compression effects at production-scale model sizes (&gt;1B parameters) were not evaluated. Extrapolation from 25M parameters may not hold.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MEASURE 2.7, MAP 2.1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8.2, Cl. 8.4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If production model exceeds 25M parameters, conduct scale-specific evaluation before applying BitNet to production weights.</w:t>
            </w:r>
          </w:p>
        </w:tc>
      </w:tr>
    </w:tbl>
    <w:p/>
    <w:p>
      <w:r>
        <w:br w:type="page"/>
      </w:r>
    </w:p>
    <w:p>
      <w:pPr>
        <w:pStyle w:val="Heading1"/>
      </w:pPr>
      <w:r>
        <w:rPr>
          <w:rFonts w:ascii="Arial" w:cs="Arial" w:eastAsia="Arial" w:hAnsi="Arial"/>
          <w:b/>
          <w:bCs/>
          <w:color w:val="1B3A6B"/>
          <w:sz w:val="32"/>
          <w:szCs w:val="32"/>
        </w:rPr>
        <w:t xml:space="preserve">5. Remediation Roadmap</w:t>
      </w:r>
    </w:p>
    <w:p>
      <w:pPr>
        <w:spacing w:after="100" w:before="60"/>
        <w:jc w:val="left"/>
      </w:pPr>
      <w:r>
        <w:rPr>
          <w:rFonts w:ascii="Arial" w:cs="Arial" w:eastAsia="Arial" w:hAnsi="Arial"/>
          <w:color w:val="000000"/>
          <w:sz w:val="22"/>
          <w:szCs w:val="22"/>
        </w:rPr>
        <w:t xml:space="preserve">The roadmap is structured around the deployment decision lifecycle rather than calendar time. Phases correspond to gates that must be cleared before a deployment decision can proceed to the next stage.</w:t>
      </w:r>
    </w:p>
    <w:p/>
    <w:p>
      <w:pPr>
        <w:pStyle w:val="Heading2"/>
      </w:pPr>
      <w:r>
        <w:rPr>
          <w:rFonts w:ascii="Arial" w:cs="Arial" w:eastAsia="Arial" w:hAnsi="Arial"/>
          <w:b/>
          <w:bCs/>
          <w:color w:val="C0392B"/>
          <w:sz w:val="26"/>
          <w:szCs w:val="26"/>
        </w:rPr>
        <w:t xml:space="preserve">5.1 Pre-Decision Gate (Before Any Deployment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800"/>
        <w:gridCol w:w="220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Risk</w:t>
            </w:r>
          </w:p>
        </w:tc>
        <w:tc>
          <w:tcPr>
            <w:tcW w:type="dxa" w:w="44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Owner</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Success Metric</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C0392B"/>
                <w:sz w:val="18"/>
                <w:szCs w:val="18"/>
              </w:rPr>
              <w:t xml:space="preserve">MR-01</w:t>
            </w:r>
          </w:p>
        </w:tc>
        <w:tc>
          <w:tcPr>
            <w:tcW w:type="dxa" w:w="44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Define and document a quantitative performance acceptance threshold for the intended production use case in collaboration with the product owner.</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Product Owner / AI Risk Owner</w:t>
            </w:r>
          </w:p>
        </w:tc>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Threshold documented and approved by named stakeholder.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C0392B"/>
                <w:sz w:val="18"/>
                <w:szCs w:val="18"/>
              </w:rPr>
              <w:t xml:space="preserve">MR-07</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Assign a named model owner accountable for compressed model performance, monitoring, and lifecycle decisions.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Engineering Lead / CISO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Model owner role assigned and documented in RACI.</w:t>
            </w:r>
          </w:p>
        </w:tc>
      </w:tr>
    </w:tbl>
    <w:p/>
    <w:p>
      <w:pPr>
        <w:pStyle w:val="Heading2"/>
      </w:pPr>
      <w:r>
        <w:rPr>
          <w:rFonts w:ascii="Arial" w:cs="Arial" w:eastAsia="Arial" w:hAnsi="Arial"/>
          <w:b/>
          <w:bCs/>
          <w:color w:val="D68910"/>
          <w:sz w:val="26"/>
          <w:szCs w:val="26"/>
        </w:rPr>
        <w:t xml:space="preserve">5.2 Pre-Deployment Gate (Before Any Compressed Model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800"/>
        <w:gridCol w:w="220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Risk</w:t>
            </w:r>
          </w:p>
        </w:tc>
        <w:tc>
          <w:tcPr>
            <w:tcW w:type="dxa" w:w="44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Owner</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Success Metric</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MR-02</w:t>
            </w:r>
          </w:p>
        </w:tc>
        <w:tc>
          <w:tcPr>
            <w:tcW w:type="dxa" w:w="44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Conduct TurboQuant evaluation at production-representative context lengths (2,048, 4,096, 8,192 tokens). Document memory measurements and perplexity delta at each length.</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Engineering / MLOps</w:t>
            </w:r>
          </w:p>
        </w:tc>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Evaluation report produced at target context lengths.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MR-03</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Re-evaluate both compression techniques on a dataset representative of the intended production domain.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Data Science / Engineering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Domain-representative evaluation results documented.</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MR-06</w:t>
            </w:r>
          </w:p>
        </w:tc>
        <w:tc>
          <w:tcPr>
            <w:tcW w:type="dxa" w:w="44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Expand evaluation protocol to include adversarial robustness testing, inference latency profiling, and fairness metrics.</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Security Engineering / Data Science</w:t>
            </w:r>
          </w:p>
        </w:tc>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Extended evaluation report covering all three dimensions.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MR-08</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If production model exceeds 25M parameters, conduct scale-specific evaluation of BitNet before applying to production weights.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Engineering Lead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Scale-specific evaluation at production model size.</w:t>
            </w:r>
          </w:p>
        </w:tc>
      </w:tr>
    </w:tbl>
    <w:p/>
    <w:p>
      <w:pPr>
        <w:pStyle w:val="Heading2"/>
      </w:pPr>
      <w:r>
        <w:rPr>
          <w:rFonts w:ascii="Arial" w:cs="Arial" w:eastAsia="Arial" w:hAnsi="Arial"/>
          <w:b/>
          <w:bCs/>
          <w:color w:val="2E6DB4"/>
          <w:sz w:val="26"/>
          <w:szCs w:val="26"/>
        </w:rPr>
        <w:t xml:space="preserve">5.3 Go-Live Gate (Before Production Traffic Is 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800"/>
        <w:gridCol w:w="220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Risk</w:t>
            </w:r>
          </w:p>
        </w:tc>
        <w:tc>
          <w:tcPr>
            <w:tcW w:type="dxa" w:w="44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Owner</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Success Metric</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MR-04</w:t>
            </w:r>
          </w:p>
        </w:tc>
        <w:tc>
          <w:tcPr>
            <w:tcW w:type="dxa" w:w="44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Implement production monitoring for perplexity and output quality metrics with defined alerting thresholds.</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MLOps / Security Operations</w:t>
            </w:r>
          </w:p>
        </w:tc>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Monitoring dashboard live; alerts configured and tested.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MR-05</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Define and test rollback procedure to baseline model checkpoint. Document baseline checkpoint as a formal recovery resource.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Engineering Lead / MLOps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Rollback executed successfully in staging environment.</w:t>
            </w:r>
          </w:p>
        </w:tc>
      </w:tr>
    </w:tbl>
    <w:p/>
    <w:p>
      <w:r>
        <w:br w:type="page"/>
      </w:r>
    </w:p>
    <w:p>
      <w:pPr>
        <w:pStyle w:val="Heading1"/>
      </w:pPr>
      <w:r>
        <w:rPr>
          <w:rFonts w:ascii="Arial" w:cs="Arial" w:eastAsia="Arial" w:hAnsi="Arial"/>
          <w:b/>
          <w:bCs/>
          <w:color w:val="1B3A6B"/>
          <w:sz w:val="32"/>
          <w:szCs w:val="32"/>
        </w:rPr>
        <w:t xml:space="preserve">6. Framework Mapping Reference</w:t>
      </w:r>
    </w:p>
    <w:p>
      <w:pPr>
        <w:spacing w:after="100" w:before="60"/>
        <w:jc w:val="left"/>
      </w:pPr>
      <w:r>
        <w:rPr>
          <w:rFonts w:ascii="Arial" w:cs="Arial" w:eastAsia="Arial" w:hAnsi="Arial"/>
          <w:color w:val="000000"/>
          <w:sz w:val="22"/>
          <w:szCs w:val="22"/>
        </w:rPr>
        <w:t xml:space="preserve">Cross-walk between NIST AI RMF subcategories, ISO/IEC 42001:2023 clauses, and the findings and risks in this report.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NIST AI RMF</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Subcategory Description</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ISO 42001</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Finding(s)</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GOVERN 1.2</w:t>
            </w:r>
          </w:p>
        </w:tc>
        <w:tc>
          <w:tcPr>
            <w:tcW w:type="dxa" w:w="3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risk tolerance criteria documented and applied.</w:t>
            </w:r>
          </w:p>
        </w:tc>
        <w:tc>
          <w:tcPr>
            <w:tcW w:type="dxa" w:w="2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6.1.2</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F-01, MR-01</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GOVERN 2.1/2.2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roles and accountability defined.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5.3, A.3.1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MR-07</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MAP 2.1</w:t>
            </w:r>
          </w:p>
        </w:tc>
        <w:tc>
          <w:tcPr>
            <w:tcW w:type="dxa" w:w="3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system context and production use case characterized.</w:t>
            </w:r>
          </w:p>
        </w:tc>
        <w:tc>
          <w:tcPr>
            <w:tcW w:type="dxa" w:w="2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8.2</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F-02, MR-02</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MAP 2.3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Bias and fairness risk characterized.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8.3, A.6.2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MR-03</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MEASURE 2.2</w:t>
            </w:r>
          </w:p>
        </w:tc>
        <w:tc>
          <w:tcPr>
            <w:tcW w:type="dxa" w:w="3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Bias and fairness metrics established and monitored.</w:t>
            </w:r>
          </w:p>
        </w:tc>
        <w:tc>
          <w:tcPr>
            <w:tcW w:type="dxa" w:w="2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8.3.4</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MR-03, MR-06</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MEASURE 2.5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Adversarial robustness tested and evaluated.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8.4, A.8.2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MR-06</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MEASURE 2.6</w:t>
            </w:r>
          </w:p>
        </w:tc>
        <w:tc>
          <w:tcPr>
            <w:tcW w:type="dxa" w:w="3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explainability and transparency measured.</w:t>
            </w:r>
          </w:p>
        </w:tc>
        <w:tc>
          <w:tcPr>
            <w:tcW w:type="dxa" w:w="2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8.4.2</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MR-06</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MEASURE 2.7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system performance monitored in production.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8.5, Cl. 9.1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F-01, MR-04</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MANAGE 1.3</w:t>
            </w:r>
          </w:p>
        </w:tc>
        <w:tc>
          <w:tcPr>
            <w:tcW w:type="dxa" w:w="3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Model versioning, rollback, and lifecycle controls.</w:t>
            </w:r>
          </w:p>
        </w:tc>
        <w:tc>
          <w:tcPr>
            <w:tcW w:type="dxa" w:w="2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8.5</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F-03, MR-05</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MANAGE 3.1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incident response process defined.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F-03, MR-05</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MANAGE 4.1</w:t>
            </w:r>
          </w:p>
        </w:tc>
        <w:tc>
          <w:tcPr>
            <w:tcW w:type="dxa" w:w="3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incidents tracked, analyzed, and reported.</w:t>
            </w:r>
          </w:p>
        </w:tc>
        <w:tc>
          <w:tcPr>
            <w:tcW w:type="dxa" w:w="2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8.6, A.8.5</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F-03</w:t>
            </w:r>
          </w:p>
        </w:tc>
      </w:tr>
    </w:tbl>
    <w:p/>
    <w:p>
      <w:r>
        <w:br w:type="page"/>
      </w:r>
    </w:p>
    <w:p>
      <w:pPr>
        <w:pStyle w:val="Heading1"/>
      </w:pPr>
      <w:r>
        <w:rPr>
          <w:rFonts w:ascii="Arial" w:cs="Arial" w:eastAsia="Arial" w:hAnsi="Arial"/>
          <w:b/>
          <w:bCs/>
          <w:color w:val="1B3A6B"/>
          <w:sz w:val="32"/>
          <w:szCs w:val="32"/>
        </w:rPr>
        <w:t xml:space="preserve">7. Analytical Note: ML Work to Governance Narrative</w:t>
      </w:r>
    </w:p>
    <w:p>
      <w:pPr>
        <w:spacing w:after="100" w:before="60"/>
        <w:jc w:val="left"/>
      </w:pPr>
      <w:r>
        <w:rPr>
          <w:rFonts w:ascii="Arial" w:cs="Arial" w:eastAsia="Arial" w:hAnsi="Arial"/>
          <w:color w:val="000000"/>
          <w:sz w:val="22"/>
          <w:szCs w:val="22"/>
        </w:rPr>
        <w:t xml:space="preserve">This section documents the bridge between the technical work and the governance assessment, as the combination is the primary differentiator of this project.</w:t>
      </w:r>
    </w:p>
    <w:p>
      <w:pPr>
        <w:pStyle w:val="Heading2"/>
      </w:pPr>
      <w:r>
        <w:rPr>
          <w:rFonts w:ascii="Arial" w:cs="Arial" w:eastAsia="Arial" w:hAnsi="Arial"/>
          <w:b/>
          <w:bCs/>
          <w:color w:val="1B3A6B"/>
          <w:sz w:val="26"/>
          <w:szCs w:val="26"/>
        </w:rPr>
        <w:t xml:space="preserve">7.1 The Technical Work</w:t>
      </w:r>
    </w:p>
    <w:p>
      <w:pPr>
        <w:spacing w:after="100" w:before="60"/>
        <w:jc w:val="left"/>
      </w:pPr>
      <w:r>
        <w:rPr>
          <w:rFonts w:ascii="Arial" w:cs="Arial" w:eastAsia="Arial" w:hAnsi="Arial"/>
          <w:color w:val="000000"/>
          <w:sz w:val="22"/>
          <w:szCs w:val="22"/>
        </w:rPr>
        <w:t xml:space="preserve">The ablation study required building a GPT-style language model from scratch on limited hardware, implementing two compression techniques with no prior ML experience, and producing comparative performance data across six evaluation configurations. The technical outputs are the quantitative results in Section 2.3: perplexity measurements, memory consumption, and the hardware constraint finding that TurboQuant's primary use case was untested.</w:t>
      </w:r>
    </w:p>
    <w:p>
      <w:pPr>
        <w:pStyle w:val="Heading2"/>
      </w:pPr>
      <w:r>
        <w:rPr>
          <w:rFonts w:ascii="Arial" w:cs="Arial" w:eastAsia="Arial" w:hAnsi="Arial"/>
          <w:b/>
          <w:bCs/>
          <w:color w:val="1B3A6B"/>
          <w:sz w:val="26"/>
          <w:szCs w:val="26"/>
        </w:rPr>
        <w:t xml:space="preserve">7.2 The Governance Translation</w:t>
      </w:r>
    </w:p>
    <w:p>
      <w:pPr>
        <w:spacing w:after="100" w:before="60"/>
        <w:jc w:val="left"/>
      </w:pPr>
      <w:r>
        <w:rPr>
          <w:rFonts w:ascii="Arial" w:cs="Arial" w:eastAsia="Arial" w:hAnsi="Arial"/>
          <w:color w:val="000000"/>
          <w:sz w:val="22"/>
          <w:szCs w:val="22"/>
        </w:rPr>
        <w:t xml:space="preserve">The governance assessment treats the technical findings as evidence, exactly as a consulting engagement would treat stakeholder interviews and configuration reviews as evidence. The risk assessment does not evaluate whether the ML methodology was technically sound. It evaluates whether the outputs of that methodology are sufficient to support a responsible production deployment decision, and what governance gaps prevent that decision from being made on objective grounds.</w:t>
      </w:r>
    </w:p>
    <w:p>
      <w:pPr>
        <w:spacing w:after="100" w:before="60"/>
        <w:jc w:val="left"/>
      </w:pPr>
      <w:r>
        <w:rPr>
          <w:rFonts w:ascii="Arial" w:cs="Arial" w:eastAsia="Arial" w:hAnsi="Arial"/>
          <w:color w:val="000000"/>
          <w:sz w:val="22"/>
          <w:szCs w:val="22"/>
        </w:rPr>
        <w:t xml:space="preserve">The translation principle is the same as the NovaSphere assessment: the risk drives the framework reference. The 39% perplexity degradation under BitNet is not a governance finding by itself. It becomes a governance finding when combined with the observation that no acceptance threshold exists against which to evaluate whether 39% degradation is acceptable or not. The technical result creates the risk; the governance gap determines its severity.</w:t>
      </w:r>
    </w:p>
    <w:p>
      <w:pPr>
        <w:pStyle w:val="Heading2"/>
      </w:pPr>
      <w:r>
        <w:rPr>
          <w:rFonts w:ascii="Arial" w:cs="Arial" w:eastAsia="Arial" w:hAnsi="Arial"/>
          <w:b/>
          <w:bCs/>
          <w:color w:val="1B3A6B"/>
          <w:sz w:val="26"/>
          <w:szCs w:val="26"/>
        </w:rPr>
        <w:t xml:space="preserve">7.3 Why This Combination Is Uncommon</w:t>
      </w:r>
    </w:p>
    <w:p>
      <w:pPr>
        <w:spacing w:after="100" w:before="60"/>
        <w:jc w:val="left"/>
      </w:pPr>
      <w:r>
        <w:rPr>
          <w:rFonts w:ascii="Arial" w:cs="Arial" w:eastAsia="Arial" w:hAnsi="Arial"/>
          <w:color w:val="000000"/>
          <w:sz w:val="22"/>
          <w:szCs w:val="22"/>
        </w:rPr>
        <w:t xml:space="preserve">GRC analysts who can train a model, run an ablation study, and then produce a governance assessment of their own technical work are rare at the analyst level. Most GRC candidates assess AI systems they did not build, working from documentation and interviews. This project demonstrates the ability to move in both directions: producing the technical artifact and then evaluating it through a governance lens. That combination directly addresses the challenge most organizations face, which is that technical teams build AI systems and governance teams assess them, with translation between the two being a persistent friction point.</w:t>
      </w:r>
    </w:p>
    <w:p/>
    <w:p/>
    <w:p>
      <w:pPr>
        <w:pBdr>
          <w:top w:val="single" w:color="2E6DB4" w:sz="6" w:space="8"/>
        </w:pBdr>
        <w:spacing w:after="80" w:before="200"/>
      </w:pPr>
      <w:r>
        <w:rPr>
          <w:rFonts w:ascii="Arial" w:cs="Arial" w:eastAsia="Arial" w:hAnsi="Arial"/>
          <w:b/>
          <w:bCs/>
          <w:color w:val="1B3A6B"/>
          <w:sz w:val="22"/>
          <w:szCs w:val="22"/>
        </w:rPr>
        <w:t xml:space="preserve">Prepared by: </w:t>
      </w:r>
      <w:r>
        <w:rPr>
          <w:rFonts w:ascii="Arial" w:cs="Arial" w:eastAsia="Arial" w:hAnsi="Arial"/>
          <w:color w:val="000000"/>
          <w:sz w:val="22"/>
          <w:szCs w:val="22"/>
        </w:rPr>
        <w:t xml:space="preserve">Shankar | AI Governance &amp; Cybersecurity Consulting</w:t>
      </w:r>
    </w:p>
    <w:p>
      <w:pPr>
        <w:spacing w:after="100" w:before="60"/>
        <w:jc w:val="left"/>
      </w:pPr>
      <w:r>
        <w:rPr>
          <w:rFonts w:ascii="Arial" w:cs="Arial" w:eastAsia="Arial" w:hAnsi="Arial"/>
          <w:b/>
          <w:bCs/>
          <w:color w:val="1B3A6B"/>
          <w:sz w:val="22"/>
          <w:szCs w:val="22"/>
        </w:rPr>
        <w:t xml:space="preserve">Frameworks: </w:t>
      </w:r>
      <w:r>
        <w:rPr>
          <w:rFonts w:ascii="Arial" w:cs="Arial" w:eastAsia="Arial" w:hAnsi="Arial"/>
          <w:color w:val="000000"/>
          <w:sz w:val="22"/>
          <w:szCs w:val="22"/>
        </w:rPr>
        <w:t xml:space="preserve">NIST AI RMF 1.0 | ISO/IEC 42001:2023</w:t>
      </w:r>
    </w:p>
    <w:p>
      <w:pPr>
        <w:spacing w:after="100" w:before="60"/>
        <w:jc w:val="left"/>
      </w:pPr>
      <w:r>
        <w:rPr>
          <w:rFonts w:ascii="Arial" w:cs="Arial" w:eastAsia="Arial" w:hAnsi="Arial"/>
          <w:b/>
          <w:bCs/>
          <w:color w:val="1B3A6B"/>
          <w:sz w:val="22"/>
          <w:szCs w:val="22"/>
        </w:rPr>
        <w:t xml:space="preserve">Technical Study: </w:t>
      </w:r>
      <w:r>
        <w:rPr>
          <w:rFonts w:ascii="Arial" w:cs="Arial" w:eastAsia="Arial" w:hAnsi="Arial"/>
          <w:color w:val="000000"/>
          <w:sz w:val="22"/>
          <w:szCs w:val="22"/>
        </w:rPr>
        <w:t xml:space="preserve">BitNet + TurboQuant Ablation Study, Kubo Technologies</w:t>
      </w:r>
    </w:p>
    <w:p>
      <w:pPr>
        <w:spacing w:after="100" w:before="60"/>
        <w:jc w:val="left"/>
      </w:pPr>
      <w:r>
        <w:rPr>
          <w:rFonts w:ascii="Arial" w:cs="Arial" w:eastAsia="Arial" w:hAnsi="Arial"/>
          <w:b/>
          <w:bCs/>
          <w:color w:val="1B3A6B"/>
          <w:sz w:val="22"/>
          <w:szCs w:val="22"/>
        </w:rPr>
        <w:t xml:space="preserve">Date: </w:t>
      </w:r>
      <w:r>
        <w:rPr>
          <w:rFonts w:ascii="Arial" w:cs="Arial" w:eastAsia="Arial" w:hAnsi="Arial"/>
          <w:color w:val="000000"/>
          <w:sz w:val="22"/>
          <w:szCs w:val="22"/>
        </w:rPr>
        <w:t xml:space="preserve">April 2026</w:t>
      </w:r>
    </w:p>
    <w:p>
      <w:pPr>
        <w:spacing w:after="100" w:before="60"/>
        <w:jc w:val="left"/>
      </w:pPr>
      <w:r>
        <w:rPr>
          <w:rFonts w:ascii="Arial" w:cs="Arial" w:eastAsia="Arial" w:hAnsi="Arial"/>
          <w:b/>
          <w:bCs/>
          <w:color w:val="1B3A6B"/>
          <w:sz w:val="22"/>
          <w:szCs w:val="22"/>
        </w:rPr>
        <w:t xml:space="preserve">Classification: </w:t>
      </w:r>
      <w:r>
        <w:rPr>
          <w:rFonts w:ascii="Arial" w:cs="Arial" w:eastAsia="Arial" w:hAnsi="Arial"/>
          <w:color w:val="000000"/>
          <w:sz w:val="22"/>
          <w:szCs w:val="22"/>
        </w:rPr>
        <w:t xml:space="preserve">CONFIDENTIAL — Portfolio demonstration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4"/>
      </w:pBdr>
      <w:tabs>
        <w:tab w:val="right" w:pos="9360"/>
      </w:tabs>
      <w:spacing w:before="120"/>
    </w:pPr>
    <w:r>
      <w:rPr>
        <w:rFonts w:ascii="Arial" w:cs="Arial" w:eastAsia="Arial" w:hAnsi="Arial"/>
        <w:color w:val="888888"/>
        <w:sz w:val="16"/>
        <w:szCs w:val="16"/>
      </w:rPr>
      <w:t xml:space="preserve">Model Risk Assessment | April 2026</w:t>
    </w:r>
    <w: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4"/>
      </w:pBdr>
      <w:tabs>
        <w:tab w:val="right" w:pos="9360"/>
      </w:tabs>
      <w:spacing w:after="120"/>
    </w:pPr>
    <w:r>
      <w:rPr>
        <w:rFonts w:ascii="Arial" w:cs="Arial" w:eastAsia="Arial" w:hAnsi="Arial"/>
        <w:color w:val="888888"/>
        <w:sz w:val="16"/>
        <w:szCs w:val="16"/>
      </w:rPr>
      <w:t xml:space="preserve">Kubo Technologies | Model Risk Assessment | BitNet + TurboQuant</w:t>
    </w:r>
    <w:r>
      <w:t xml:space="preserve">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B4" w:sz="6" w:space="4"/>
      </w:pBd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6DB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2026-04-15T02:26:16.502Z</dcterms:created>
  <dcterms:modified xsi:type="dcterms:W3CDTF">2026-04-15T02:26:16.503Z</dcterms:modified>
</cp:coreProperties>
</file>

<file path=docProps/custom.xml><?xml version="1.0" encoding="utf-8"?>
<Properties xmlns="http://schemas.openxmlformats.org/officeDocument/2006/custom-properties" xmlns:vt="http://schemas.openxmlformats.org/officeDocument/2006/docPropsVTypes"/>
</file>