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4365B"/>
          <w:sz w:val="50"/>
        </w:rPr>
        <w:t>WEEK 3: PROTOCOL SELECTION</w:t>
        <w:br/>
        <w:t>AND VALIDATION</w:t>
      </w:r>
    </w:p>
    <w:p>
      <w:pPr>
        <w:jc w:val="center"/>
      </w:pPr>
      <w:r>
        <w:rPr>
          <w:i/>
          <w:color w:val="505F6E"/>
          <w:sz w:val="22"/>
        </w:rPr>
        <w:t>Independent checks, protocol rationale, uncertainty and revised link-budget results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45287"/>
          </w:tcPr>
          <w:p>
            <w:pPr>
              <w:spacing w:after="0"/>
            </w:pPr>
            <w:r/>
            <w:r>
              <w:rPr>
                <w:rFonts w:ascii="Aptos" w:hAnsi="Aptos"/>
                <w:b/>
                <w:color w:val="FFFFFF"/>
                <w:sz w:val="18"/>
              </w:rPr>
              <w:t>Document field</w:t>
            </w:r>
          </w:p>
        </w:tc>
        <w:tc>
          <w:tcPr>
            <w:tcW w:type="dxa" w:w="5040"/>
            <w:vAlign w:val="center"/>
            <w:shd w:fill="145287"/>
          </w:tcPr>
          <w:p>
            <w:pPr>
              <w:spacing w:after="0"/>
            </w:pPr>
            <w:r/>
            <w:r>
              <w:rPr>
                <w:rFonts w:ascii="Aptos" w:hAnsi="Aptos"/>
                <w:b/>
                <w:color w:val="FFFFFF"/>
                <w:sz w:val="18"/>
              </w:rPr>
              <w:t>Details</w:t>
            </w:r>
          </w:p>
        </w:tc>
      </w:tr>
      <w:tr>
        <w:tc>
          <w:tcPr>
            <w:tcW w:type="dxa" w:w="5040"/>
            <w:vAlign w:val="center"/>
            <w:shd w:fill="EAF1F8"/>
          </w:tcPr>
          <w:p>
            <w:pPr>
              <w:spacing w:after="0"/>
            </w:pPr>
            <w:r/>
            <w:r>
              <w:rPr>
                <w:rFonts w:ascii="Aptos" w:hAnsi="Aptos"/>
                <w:b w:val="0"/>
                <w:sz w:val="18"/>
              </w:rPr>
              <w:t>Intern</w:t>
            </w:r>
          </w:p>
        </w:tc>
        <w:tc>
          <w:tcPr>
            <w:tcW w:type="dxa" w:w="5040"/>
            <w:vAlign w:val="center"/>
            <w:shd w:fill="EAF1F8"/>
          </w:tcPr>
          <w:p>
            <w:pPr>
              <w:spacing w:after="0"/>
            </w:pPr>
            <w:r/>
            <w:r>
              <w:rPr>
                <w:rFonts w:ascii="Aptos" w:hAnsi="Aptos"/>
                <w:b w:val="0"/>
                <w:sz w:val="18"/>
              </w:rPr>
              <w:t>P. Shankar</w:t>
            </w:r>
          </w:p>
        </w:tc>
      </w:tr>
      <w:tr>
        <w:tc>
          <w:tcPr>
            <w:tcW w:type="dxa" w:w="5040"/>
            <w:vAlign w:val="center"/>
          </w:tcPr>
          <w:p>
            <w:pPr>
              <w:spacing w:after="0"/>
            </w:pPr>
            <w:r/>
            <w:r>
              <w:rPr>
                <w:rFonts w:ascii="Aptos" w:hAnsi="Aptos"/>
                <w:b w:val="0"/>
                <w:sz w:val="18"/>
              </w:rPr>
              <w:t>Internship</w:t>
            </w:r>
          </w:p>
        </w:tc>
        <w:tc>
          <w:tcPr>
            <w:tcW w:type="dxa" w:w="5040"/>
            <w:vAlign w:val="center"/>
          </w:tcPr>
          <w:p>
            <w:pPr>
              <w:spacing w:after="0"/>
            </w:pPr>
            <w:r/>
            <w:r>
              <w:rPr>
                <w:rFonts w:ascii="Aptos" w:hAnsi="Aptos"/>
                <w:b w:val="0"/>
                <w:sz w:val="18"/>
              </w:rPr>
              <w:t>Spacecraft Communications Intern — YuvaIntern</w:t>
            </w:r>
          </w:p>
        </w:tc>
      </w:tr>
      <w:tr>
        <w:tc>
          <w:tcPr>
            <w:tcW w:type="dxa" w:w="5040"/>
            <w:vAlign w:val="center"/>
            <w:shd w:fill="EAF1F8"/>
          </w:tcPr>
          <w:p>
            <w:pPr>
              <w:spacing w:after="0"/>
            </w:pPr>
            <w:r/>
            <w:r>
              <w:rPr>
                <w:rFonts w:ascii="Aptos" w:hAnsi="Aptos"/>
                <w:b w:val="0"/>
                <w:sz w:val="18"/>
              </w:rPr>
              <w:t>Project continuity</w:t>
            </w:r>
          </w:p>
        </w:tc>
        <w:tc>
          <w:tcPr>
            <w:tcW w:type="dxa" w:w="5040"/>
            <w:vAlign w:val="center"/>
            <w:shd w:fill="EAF1F8"/>
          </w:tcPr>
          <w:p>
            <w:pPr>
              <w:spacing w:after="0"/>
            </w:pPr>
            <w:r/>
            <w:r>
              <w:rPr>
                <w:rFonts w:ascii="Aptos" w:hAnsi="Aptos"/>
                <w:b w:val="0"/>
                <w:sz w:val="18"/>
              </w:rPr>
              <w:t>Week 1/2 notional LEO spacecraft-to-ground telemetry downlink</w:t>
            </w:r>
          </w:p>
        </w:tc>
      </w:tr>
      <w:tr>
        <w:tc>
          <w:tcPr>
            <w:tcW w:type="dxa" w:w="5040"/>
            <w:vAlign w:val="center"/>
          </w:tcPr>
          <w:p>
            <w:pPr>
              <w:spacing w:after="0"/>
            </w:pPr>
            <w:r/>
            <w:r>
              <w:rPr>
                <w:rFonts w:ascii="Aptos" w:hAnsi="Aptos"/>
                <w:b w:val="0"/>
                <w:sz w:val="18"/>
              </w:rPr>
              <w:t>Study status</w:t>
            </w:r>
          </w:p>
        </w:tc>
        <w:tc>
          <w:tcPr>
            <w:tcW w:type="dxa" w:w="5040"/>
            <w:vAlign w:val="center"/>
          </w:tcPr>
          <w:p>
            <w:pPr>
              <w:spacing w:after="0"/>
            </w:pPr>
            <w:r/>
            <w:r>
              <w:rPr>
                <w:rFonts w:ascii="Aptos" w:hAnsi="Aptos"/>
                <w:b w:val="0"/>
                <w:sz w:val="18"/>
              </w:rPr>
              <w:t>Educational analytical study using assumed inputs; not a flight design or compliance certification</w:t>
            </w:r>
          </w:p>
        </w:tc>
      </w:tr>
      <w:tr>
        <w:tc>
          <w:tcPr>
            <w:tcW w:type="dxa" w:w="5040"/>
            <w:vAlign w:val="center"/>
            <w:shd w:fill="EAF1F8"/>
          </w:tcPr>
          <w:p>
            <w:pPr>
              <w:spacing w:after="0"/>
            </w:pPr>
            <w:r/>
            <w:r>
              <w:rPr>
                <w:rFonts w:ascii="Aptos" w:hAnsi="Aptos"/>
                <w:b w:val="0"/>
                <w:sz w:val="18"/>
              </w:rPr>
              <w:t>Revision</w:t>
            </w:r>
          </w:p>
        </w:tc>
        <w:tc>
          <w:tcPr>
            <w:tcW w:type="dxa" w:w="5040"/>
            <w:vAlign w:val="center"/>
            <w:shd w:fill="EAF1F8"/>
          </w:tcPr>
          <w:p>
            <w:pPr>
              <w:spacing w:after="0"/>
            </w:pPr>
            <w:r/>
            <w:r>
              <w:rPr>
                <w:rFonts w:ascii="Aptos" w:hAnsi="Aptos"/>
                <w:b w:val="0"/>
                <w:sz w:val="18"/>
              </w:rPr>
              <w:t>Week 3 validation draft — review assumptions and align with the Week 2 submitted document before final submission</w:t>
            </w:r>
          </w:p>
        </w:tc>
      </w:tr>
    </w:tbl>
    <w:p>
      <w:pPr>
        <w:spacing w:after="20"/>
      </w:pPr>
    </w:p>
    <w:p>
      <w:pPr>
        <w:pStyle w:val="Heading1"/>
      </w:pPr>
      <w:r>
        <w:t>Executive Summary</w:t>
      </w:r>
    </w:p>
    <w:p>
      <w:r>
        <w:t>This report validates the preliminary antenna and downlink calculations developed in Week 2 for a notional Low Earth Orbit (LEO) spacecraft telemetry link. It selects a standards-based protocol stack for a conceptual telemetry link, independently checks antenna gain, wavelength, beamwidth and free-space path loss, reconstructs the illustrative received-power calculation, and examines sensitivity to range, antenna pointing and additional losses. The analysis uses a nominal carrier frequency of 8.2 GHz, a 0.30 m spacecraft reflector, a 3.0 m ground reflector, aperture efficiencies of 0.55 and 0.60, a nominal slant range of approximately 1,500 km, and an illustrative 5 W transmitter. These are study assumptions, not verified mission or YuvaIntern design requirements. The checks show that the Week 2 reported values are internally consistent to rounding when the range is about 1,500 km and aggregate additional losses are about 3.5 dB. The report also identifies important limitations: the actual radio-frequency assignment, spacecraft orbit geometry, data rate, receiver noise temperature, coding mode, and required link margin have not been specified. Consequently, received power alone does not prove that a telemetry link closes. The report recommends confirming mission requirements and performing a complete C/N0, Eb/N0 and margin analysis in the final design stage.</w:t>
      </w:r>
    </w:p>
    <w:p>
      <w:pPr>
        <w:pStyle w:val="Heading1"/>
      </w:pPr>
      <w:r>
        <w:t>1. Scope and Validation Method</w:t>
      </w:r>
    </w:p>
    <w:p>
      <w:r>
        <w:t>Week 2 produced preliminary antenna parameters and a simplified downlink power estimate. Week 3 checks whether those results follow from the stated assumptions, whether the equations and units are applied correctly, and how sensitive the outputs are to key assumptions. Validation is analytical and reproducible; no laboratory measurement, hardware test, orbital simulation, or electromagnetic (EM) simulation is claimed.</w:t>
      </w:r>
    </w:p>
    <w:p>
      <w:pPr>
        <w:pStyle w:val="ListBullet"/>
        <w:spacing w:after="40"/>
      </w:pPr>
      <w:r>
        <w:t>Recompute each relevant quantity from its defining equation using SI units and logarithmic units where appropriate.</w:t>
      </w:r>
    </w:p>
    <w:p>
      <w:pPr>
        <w:pStyle w:val="ListBullet"/>
        <w:spacing w:after="40"/>
      </w:pPr>
      <w:r>
        <w:t>Compare the free-space attenuation method with ITU-R Recommendation P.525-5, the in-force ITU-R recommendation for free-space attenuation.</w:t>
      </w:r>
    </w:p>
    <w:p>
      <w:pPr>
        <w:pStyle w:val="ListBullet"/>
        <w:spacing w:after="40"/>
      </w:pPr>
      <w:r>
        <w:t>Use CCSDS publications as candidate standards for the telemetry data-link, synchronization/channel-coding, and RF/modulation layers.</w:t>
      </w:r>
    </w:p>
    <w:p>
      <w:pPr>
        <w:pStyle w:val="ListBullet"/>
        <w:spacing w:after="40"/>
      </w:pPr>
      <w:r>
        <w:t>Distinguish arithmetic validation from mission compliance: standards selection remains provisional until mission and regulatory requirements are known.</w:t>
      </w:r>
    </w:p>
    <w:p>
      <w:pPr>
        <w:pStyle w:val="Heading1"/>
      </w:pPr>
      <w:r>
        <w:t>2. Inputs, Assumptions and Traceability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45287"/>
          </w:tcPr>
          <w:p>
            <w:pPr>
              <w:spacing w:after="0"/>
            </w:pPr>
            <w:r/>
            <w:r>
              <w:rPr>
                <w:rFonts w:ascii="Aptos" w:hAnsi="Aptos"/>
                <w:b/>
                <w:color w:val="FFFFFF"/>
                <w:sz w:val="18"/>
              </w:rPr>
              <w:t>Parameter</w:t>
            </w:r>
          </w:p>
        </w:tc>
        <w:tc>
          <w:tcPr>
            <w:tcW w:type="dxa" w:w="3360"/>
            <w:vAlign w:val="center"/>
            <w:shd w:fill="145287"/>
          </w:tcPr>
          <w:p>
            <w:pPr>
              <w:spacing w:after="0"/>
            </w:pPr>
            <w:r/>
            <w:r>
              <w:rPr>
                <w:rFonts w:ascii="Aptos" w:hAnsi="Aptos"/>
                <w:b/>
                <w:color w:val="FFFFFF"/>
                <w:sz w:val="18"/>
              </w:rPr>
              <w:t>Value used in validation</w:t>
            </w:r>
          </w:p>
        </w:tc>
        <w:tc>
          <w:tcPr>
            <w:tcW w:type="dxa" w:w="3360"/>
            <w:vAlign w:val="center"/>
            <w:shd w:fill="145287"/>
          </w:tcPr>
          <w:p>
            <w:pPr>
              <w:spacing w:after="0"/>
            </w:pPr>
            <w:r/>
            <w:r>
              <w:rPr>
                <w:rFonts w:ascii="Aptos" w:hAnsi="Aptos"/>
                <w:b/>
                <w:color w:val="FFFFFF"/>
                <w:sz w:val="18"/>
              </w:rPr>
              <w:t>Status / reason</w:t>
            </w:r>
          </w:p>
        </w:tc>
      </w:tr>
      <w:tr>
        <w:tc>
          <w:tcPr>
            <w:tcW w:type="dxa" w:w="3360"/>
            <w:vAlign w:val="center"/>
            <w:shd w:fill="EAF1F8"/>
          </w:tcPr>
          <w:p>
            <w:pPr>
              <w:spacing w:after="0"/>
            </w:pPr>
            <w:r/>
            <w:r>
              <w:rPr>
                <w:rFonts w:ascii="Aptos" w:hAnsi="Aptos"/>
                <w:b w:val="0"/>
                <w:sz w:val="18"/>
              </w:rPr>
              <w:t>Carrier frequency, f</w:t>
            </w:r>
          </w:p>
        </w:tc>
        <w:tc>
          <w:tcPr>
            <w:tcW w:type="dxa" w:w="3360"/>
            <w:vAlign w:val="center"/>
            <w:shd w:fill="EAF1F8"/>
          </w:tcPr>
          <w:p>
            <w:pPr>
              <w:spacing w:after="0"/>
            </w:pPr>
            <w:r/>
            <w:r>
              <w:rPr>
                <w:rFonts w:ascii="Aptos" w:hAnsi="Aptos"/>
                <w:b w:val="0"/>
                <w:sz w:val="18"/>
              </w:rPr>
              <w:t>8.2 GHz</w:t>
            </w:r>
          </w:p>
        </w:tc>
        <w:tc>
          <w:tcPr>
            <w:tcW w:type="dxa" w:w="3360"/>
            <w:vAlign w:val="center"/>
            <w:shd w:fill="EAF1F8"/>
          </w:tcPr>
          <w:p>
            <w:pPr>
              <w:spacing w:after="0"/>
            </w:pPr>
            <w:r/>
            <w:r>
              <w:rPr>
                <w:rFonts w:ascii="Aptos" w:hAnsi="Aptos"/>
                <w:b w:val="0"/>
                <w:sz w:val="18"/>
              </w:rPr>
              <w:t>Illustrative X-band study frequency; actual authorized allocation must be confirmed for a real mission.</w:t>
            </w:r>
          </w:p>
        </w:tc>
      </w:tr>
      <w:tr>
        <w:tc>
          <w:tcPr>
            <w:tcW w:type="dxa" w:w="3360"/>
            <w:vAlign w:val="center"/>
          </w:tcPr>
          <w:p>
            <w:pPr>
              <w:spacing w:after="0"/>
            </w:pPr>
            <w:r/>
            <w:r>
              <w:rPr>
                <w:rFonts w:ascii="Aptos" w:hAnsi="Aptos"/>
                <w:b w:val="0"/>
                <w:sz w:val="18"/>
              </w:rPr>
              <w:t>Spacecraft antenna diameter, Dsc</w:t>
            </w:r>
          </w:p>
        </w:tc>
        <w:tc>
          <w:tcPr>
            <w:tcW w:type="dxa" w:w="3360"/>
            <w:vAlign w:val="center"/>
          </w:tcPr>
          <w:p>
            <w:pPr>
              <w:spacing w:after="0"/>
            </w:pPr>
            <w:r/>
            <w:r>
              <w:rPr>
                <w:rFonts w:ascii="Aptos" w:hAnsi="Aptos"/>
                <w:b w:val="0"/>
                <w:sz w:val="18"/>
              </w:rPr>
              <w:t>0.30 m</w:t>
            </w:r>
          </w:p>
        </w:tc>
        <w:tc>
          <w:tcPr>
            <w:tcW w:type="dxa" w:w="3360"/>
            <w:vAlign w:val="center"/>
          </w:tcPr>
          <w:p>
            <w:pPr>
              <w:spacing w:after="0"/>
            </w:pPr>
            <w:r/>
            <w:r>
              <w:rPr>
                <w:rFonts w:ascii="Aptos" w:hAnsi="Aptos"/>
                <w:b w:val="0"/>
                <w:sz w:val="18"/>
              </w:rPr>
              <w:t>Assumed Week 2 parabolic reflector diameter.</w:t>
            </w:r>
          </w:p>
        </w:tc>
      </w:tr>
      <w:tr>
        <w:tc>
          <w:tcPr>
            <w:tcW w:type="dxa" w:w="3360"/>
            <w:vAlign w:val="center"/>
            <w:shd w:fill="EAF1F8"/>
          </w:tcPr>
          <w:p>
            <w:pPr>
              <w:spacing w:after="0"/>
            </w:pPr>
            <w:r/>
            <w:r>
              <w:rPr>
                <w:rFonts w:ascii="Aptos" w:hAnsi="Aptos"/>
                <w:b w:val="0"/>
                <w:sz w:val="18"/>
              </w:rPr>
              <w:t>Spacecraft aperture efficiency, ηsc</w:t>
            </w:r>
          </w:p>
        </w:tc>
        <w:tc>
          <w:tcPr>
            <w:tcW w:type="dxa" w:w="3360"/>
            <w:vAlign w:val="center"/>
            <w:shd w:fill="EAF1F8"/>
          </w:tcPr>
          <w:p>
            <w:pPr>
              <w:spacing w:after="0"/>
            </w:pPr>
            <w:r/>
            <w:r>
              <w:rPr>
                <w:rFonts w:ascii="Aptos" w:hAnsi="Aptos"/>
                <w:b w:val="0"/>
                <w:sz w:val="18"/>
              </w:rPr>
              <w:t>0.55</w:t>
            </w:r>
          </w:p>
        </w:tc>
        <w:tc>
          <w:tcPr>
            <w:tcW w:type="dxa" w:w="3360"/>
            <w:vAlign w:val="center"/>
            <w:shd w:fill="EAF1F8"/>
          </w:tcPr>
          <w:p>
            <w:pPr>
              <w:spacing w:after="0"/>
            </w:pPr>
            <w:r/>
            <w:r>
              <w:rPr>
                <w:rFonts w:ascii="Aptos" w:hAnsi="Aptos"/>
                <w:b w:val="0"/>
                <w:sz w:val="18"/>
              </w:rPr>
              <w:t>Assumed; real efficiency depends on illumination, blockage, surface, feed and losses.</w:t>
            </w:r>
          </w:p>
        </w:tc>
      </w:tr>
      <w:tr>
        <w:tc>
          <w:tcPr>
            <w:tcW w:type="dxa" w:w="3360"/>
            <w:vAlign w:val="center"/>
          </w:tcPr>
          <w:p>
            <w:pPr>
              <w:spacing w:after="0"/>
            </w:pPr>
            <w:r/>
            <w:r>
              <w:rPr>
                <w:rFonts w:ascii="Aptos" w:hAnsi="Aptos"/>
                <w:b w:val="0"/>
                <w:sz w:val="18"/>
              </w:rPr>
              <w:t>Ground antenna diameter, Dg</w:t>
            </w:r>
          </w:p>
        </w:tc>
        <w:tc>
          <w:tcPr>
            <w:tcW w:type="dxa" w:w="3360"/>
            <w:vAlign w:val="center"/>
          </w:tcPr>
          <w:p>
            <w:pPr>
              <w:spacing w:after="0"/>
            </w:pPr>
            <w:r/>
            <w:r>
              <w:rPr>
                <w:rFonts w:ascii="Aptos" w:hAnsi="Aptos"/>
                <w:b w:val="0"/>
                <w:sz w:val="18"/>
              </w:rPr>
              <w:t>3.0 m</w:t>
            </w:r>
          </w:p>
        </w:tc>
        <w:tc>
          <w:tcPr>
            <w:tcW w:type="dxa" w:w="3360"/>
            <w:vAlign w:val="center"/>
          </w:tcPr>
          <w:p>
            <w:pPr>
              <w:spacing w:after="0"/>
            </w:pPr>
            <w:r/>
            <w:r>
              <w:rPr>
                <w:rFonts w:ascii="Aptos" w:hAnsi="Aptos"/>
                <w:b w:val="0"/>
                <w:sz w:val="18"/>
              </w:rPr>
              <w:t>Assumed ground reflector diameter.</w:t>
            </w:r>
          </w:p>
        </w:tc>
      </w:tr>
      <w:tr>
        <w:tc>
          <w:tcPr>
            <w:tcW w:type="dxa" w:w="3360"/>
            <w:vAlign w:val="center"/>
            <w:shd w:fill="EAF1F8"/>
          </w:tcPr>
          <w:p>
            <w:pPr>
              <w:spacing w:after="0"/>
            </w:pPr>
            <w:r/>
            <w:r>
              <w:rPr>
                <w:rFonts w:ascii="Aptos" w:hAnsi="Aptos"/>
                <w:b w:val="0"/>
                <w:sz w:val="18"/>
              </w:rPr>
              <w:t>Ground aperture efficiency, ηg</w:t>
            </w:r>
          </w:p>
        </w:tc>
        <w:tc>
          <w:tcPr>
            <w:tcW w:type="dxa" w:w="3360"/>
            <w:vAlign w:val="center"/>
            <w:shd w:fill="EAF1F8"/>
          </w:tcPr>
          <w:p>
            <w:pPr>
              <w:spacing w:after="0"/>
            </w:pPr>
            <w:r/>
            <w:r>
              <w:rPr>
                <w:rFonts w:ascii="Aptos" w:hAnsi="Aptos"/>
                <w:b w:val="0"/>
                <w:sz w:val="18"/>
              </w:rPr>
              <w:t>0.60</w:t>
            </w:r>
          </w:p>
        </w:tc>
        <w:tc>
          <w:tcPr>
            <w:tcW w:type="dxa" w:w="3360"/>
            <w:vAlign w:val="center"/>
            <w:shd w:fill="EAF1F8"/>
          </w:tcPr>
          <w:p>
            <w:pPr>
              <w:spacing w:after="0"/>
            </w:pPr>
            <w:r/>
            <w:r>
              <w:rPr>
                <w:rFonts w:ascii="Aptos" w:hAnsi="Aptos"/>
                <w:b w:val="0"/>
                <w:sz w:val="18"/>
              </w:rPr>
              <w:t>Assumed for preliminary calculation.</w:t>
            </w:r>
          </w:p>
        </w:tc>
      </w:tr>
      <w:tr>
        <w:tc>
          <w:tcPr>
            <w:tcW w:type="dxa" w:w="3360"/>
            <w:vAlign w:val="center"/>
          </w:tcPr>
          <w:p>
            <w:pPr>
              <w:spacing w:after="0"/>
            </w:pPr>
            <w:r/>
            <w:r>
              <w:rPr>
                <w:rFonts w:ascii="Aptos" w:hAnsi="Aptos"/>
                <w:b w:val="0"/>
                <w:sz w:val="18"/>
              </w:rPr>
              <w:t>Slant range, R</w:t>
            </w:r>
          </w:p>
        </w:tc>
        <w:tc>
          <w:tcPr>
            <w:tcW w:type="dxa" w:w="3360"/>
            <w:vAlign w:val="center"/>
          </w:tcPr>
          <w:p>
            <w:pPr>
              <w:spacing w:after="0"/>
            </w:pPr>
            <w:r/>
            <w:r>
              <w:rPr>
                <w:rFonts w:ascii="Aptos" w:hAnsi="Aptos"/>
                <w:b w:val="0"/>
                <w:sz w:val="18"/>
              </w:rPr>
              <w:t>1,500 km nominal</w:t>
            </w:r>
          </w:p>
        </w:tc>
        <w:tc>
          <w:tcPr>
            <w:tcW w:type="dxa" w:w="3360"/>
            <w:vAlign w:val="center"/>
          </w:tcPr>
          <w:p>
            <w:pPr>
              <w:spacing w:after="0"/>
            </w:pPr>
            <w:r/>
            <w:r>
              <w:rPr>
                <w:rFonts w:ascii="Aptos" w:hAnsi="Aptos"/>
                <w:b w:val="0"/>
                <w:sz w:val="18"/>
              </w:rPr>
              <w:t>Reconstructed from Week 2 free-space loss value; not a fixed LEO range throughout a pass.</w:t>
            </w:r>
          </w:p>
        </w:tc>
      </w:tr>
      <w:tr>
        <w:tc>
          <w:tcPr>
            <w:tcW w:type="dxa" w:w="3360"/>
            <w:vAlign w:val="center"/>
            <w:shd w:fill="EAF1F8"/>
          </w:tcPr>
          <w:p>
            <w:pPr>
              <w:spacing w:after="0"/>
            </w:pPr>
            <w:r/>
            <w:r>
              <w:rPr>
                <w:rFonts w:ascii="Aptos" w:hAnsi="Aptos"/>
                <w:b w:val="0"/>
                <w:sz w:val="18"/>
              </w:rPr>
              <w:t>Transmit power, Pt</w:t>
            </w:r>
          </w:p>
        </w:tc>
        <w:tc>
          <w:tcPr>
            <w:tcW w:type="dxa" w:w="3360"/>
            <w:vAlign w:val="center"/>
            <w:shd w:fill="EAF1F8"/>
          </w:tcPr>
          <w:p>
            <w:pPr>
              <w:spacing w:after="0"/>
            </w:pPr>
            <w:r/>
            <w:r>
              <w:rPr>
                <w:rFonts w:ascii="Aptos" w:hAnsi="Aptos"/>
                <w:b w:val="0"/>
                <w:sz w:val="18"/>
              </w:rPr>
              <w:t>5 W = 6.99 dBW</w:t>
            </w:r>
          </w:p>
        </w:tc>
        <w:tc>
          <w:tcPr>
            <w:tcW w:type="dxa" w:w="3360"/>
            <w:vAlign w:val="center"/>
            <w:shd w:fill="EAF1F8"/>
          </w:tcPr>
          <w:p>
            <w:pPr>
              <w:spacing w:after="0"/>
            </w:pPr>
            <w:r/>
            <w:r>
              <w:rPr>
                <w:rFonts w:ascii="Aptos" w:hAnsi="Aptos"/>
                <w:b w:val="0"/>
                <w:sz w:val="18"/>
              </w:rPr>
              <w:t>Illustrative reconstruction to audit received-power arithmetic.</w:t>
            </w:r>
          </w:p>
        </w:tc>
      </w:tr>
      <w:tr>
        <w:tc>
          <w:tcPr>
            <w:tcW w:type="dxa" w:w="3360"/>
            <w:vAlign w:val="center"/>
          </w:tcPr>
          <w:p>
            <w:pPr>
              <w:spacing w:after="0"/>
            </w:pPr>
            <w:r/>
            <w:r>
              <w:rPr>
                <w:rFonts w:ascii="Aptos" w:hAnsi="Aptos"/>
                <w:b w:val="0"/>
                <w:sz w:val="18"/>
              </w:rPr>
              <w:t>Aggregate additional losses</w:t>
            </w:r>
          </w:p>
        </w:tc>
        <w:tc>
          <w:tcPr>
            <w:tcW w:type="dxa" w:w="3360"/>
            <w:vAlign w:val="center"/>
          </w:tcPr>
          <w:p>
            <w:pPr>
              <w:spacing w:after="0"/>
            </w:pPr>
            <w:r/>
            <w:r>
              <w:rPr>
                <w:rFonts w:ascii="Aptos" w:hAnsi="Aptos"/>
                <w:b w:val="0"/>
                <w:sz w:val="18"/>
              </w:rPr>
              <w:t>3.5 dB</w:t>
            </w:r>
          </w:p>
        </w:tc>
        <w:tc>
          <w:tcPr>
            <w:tcW w:type="dxa" w:w="3360"/>
            <w:vAlign w:val="center"/>
          </w:tcPr>
          <w:p>
            <w:pPr>
              <w:spacing w:after="0"/>
            </w:pPr>
            <w:r/>
            <w:r>
              <w:rPr>
                <w:rFonts w:ascii="Aptos" w:hAnsi="Aptos"/>
                <w:b w:val="0"/>
                <w:sz w:val="18"/>
              </w:rPr>
              <w:t>Illustrative allowance reconstructed from Week 2 received-power value; must be itemized for a real link.</w:t>
            </w:r>
          </w:p>
        </w:tc>
      </w:tr>
      <w:tr>
        <w:tc>
          <w:tcPr>
            <w:tcW w:type="dxa" w:w="3360"/>
            <w:vAlign w:val="center"/>
            <w:shd w:fill="EAF1F8"/>
          </w:tcPr>
          <w:p>
            <w:pPr>
              <w:spacing w:after="0"/>
            </w:pPr>
            <w:r/>
            <w:r>
              <w:rPr>
                <w:rFonts w:ascii="Aptos" w:hAnsi="Aptos"/>
                <w:b w:val="0"/>
                <w:sz w:val="18"/>
              </w:rPr>
              <w:t>Polarization</w:t>
            </w:r>
          </w:p>
        </w:tc>
        <w:tc>
          <w:tcPr>
            <w:tcW w:type="dxa" w:w="3360"/>
            <w:vAlign w:val="center"/>
            <w:shd w:fill="EAF1F8"/>
          </w:tcPr>
          <w:p>
            <w:pPr>
              <w:spacing w:after="0"/>
            </w:pPr>
            <w:r/>
            <w:r>
              <w:rPr>
                <w:rFonts w:ascii="Aptos" w:hAnsi="Aptos"/>
                <w:b w:val="0"/>
                <w:sz w:val="18"/>
              </w:rPr>
              <w:t>Matched, idealized</w:t>
            </w:r>
          </w:p>
        </w:tc>
        <w:tc>
          <w:tcPr>
            <w:tcW w:type="dxa" w:w="3360"/>
            <w:vAlign w:val="center"/>
            <w:shd w:fill="EAF1F8"/>
          </w:tcPr>
          <w:p>
            <w:pPr>
              <w:spacing w:after="0"/>
            </w:pPr>
            <w:r/>
            <w:r>
              <w:rPr>
                <w:rFonts w:ascii="Aptos" w:hAnsi="Aptos"/>
                <w:b w:val="0"/>
                <w:sz w:val="18"/>
              </w:rPr>
              <w:t>Mismatch is not separately modeled; include it in real loss budget.</w:t>
            </w:r>
          </w:p>
        </w:tc>
      </w:tr>
      <w:tr>
        <w:tc>
          <w:tcPr>
            <w:tcW w:type="dxa" w:w="3360"/>
            <w:vAlign w:val="center"/>
          </w:tcPr>
          <w:p>
            <w:pPr>
              <w:spacing w:after="0"/>
            </w:pPr>
            <w:r/>
            <w:r>
              <w:rPr>
                <w:rFonts w:ascii="Aptos" w:hAnsi="Aptos"/>
                <w:b w:val="0"/>
                <w:sz w:val="18"/>
              </w:rPr>
              <w:t>Atmosphere/rain</w:t>
            </w:r>
          </w:p>
        </w:tc>
        <w:tc>
          <w:tcPr>
            <w:tcW w:type="dxa" w:w="3360"/>
            <w:vAlign w:val="center"/>
          </w:tcPr>
          <w:p>
            <w:pPr>
              <w:spacing w:after="0"/>
            </w:pPr>
            <w:r/>
            <w:r>
              <w:rPr>
                <w:rFonts w:ascii="Aptos" w:hAnsi="Aptos"/>
                <w:b w:val="0"/>
                <w:sz w:val="18"/>
              </w:rPr>
              <w:t>Not separately modeled</w:t>
            </w:r>
          </w:p>
        </w:tc>
        <w:tc>
          <w:tcPr>
            <w:tcW w:type="dxa" w:w="3360"/>
            <w:vAlign w:val="center"/>
          </w:tcPr>
          <w:p>
            <w:pPr>
              <w:spacing w:after="0"/>
            </w:pPr>
            <w:r/>
            <w:r>
              <w:rPr>
                <w:rFonts w:ascii="Aptos" w:hAnsi="Aptos"/>
                <w:b w:val="0"/>
                <w:sz w:val="18"/>
              </w:rPr>
              <w:t>At 8.2 GHz, atmospheric and weather effects require site, elevation and availability inputs.</w:t>
            </w:r>
          </w:p>
        </w:tc>
      </w:tr>
    </w:tbl>
    <w:p>
      <w:pPr>
        <w:spacing w:after="20"/>
      </w:pPr>
    </w:p>
    <w:p>
      <w:pPr>
        <w:pStyle w:val="Heading1"/>
      </w:pPr>
      <w:r>
        <w:t>3. Candidate Protocol and Standards Selection</w:t>
      </w:r>
    </w:p>
    <w:p>
      <w:r>
        <w:t>For a conventional spacecraft telemetry downlink, a reasonable standards-based candidate is a CCSDS telemetry (TM) data-link framing approach with a compatible synchronization and channel-coding option, paired with an RF/modulation choice permitted by the applicable mission and frequency authorization. This is a conceptual selection, not a claim that a specific coding/modulation mode has been finalized.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45287"/>
          </w:tcPr>
          <w:p>
            <w:pPr>
              <w:spacing w:after="0"/>
            </w:pPr>
            <w:r/>
            <w:r>
              <w:rPr>
                <w:rFonts w:ascii="Aptos" w:hAnsi="Aptos"/>
                <w:b/>
                <w:color w:val="FFFFFF"/>
                <w:sz w:val="18"/>
              </w:rPr>
              <w:t>Layer / function</w:t>
            </w:r>
          </w:p>
        </w:tc>
        <w:tc>
          <w:tcPr>
            <w:tcW w:type="dxa" w:w="3360"/>
            <w:vAlign w:val="center"/>
            <w:shd w:fill="145287"/>
          </w:tcPr>
          <w:p>
            <w:pPr>
              <w:spacing w:after="0"/>
            </w:pPr>
            <w:r/>
            <w:r>
              <w:rPr>
                <w:rFonts w:ascii="Aptos" w:hAnsi="Aptos"/>
                <w:b/>
                <w:color w:val="FFFFFF"/>
                <w:sz w:val="18"/>
              </w:rPr>
              <w:t>Candidate reference</w:t>
            </w:r>
          </w:p>
        </w:tc>
        <w:tc>
          <w:tcPr>
            <w:tcW w:type="dxa" w:w="3360"/>
            <w:vAlign w:val="center"/>
            <w:shd w:fill="145287"/>
          </w:tcPr>
          <w:p>
            <w:pPr>
              <w:spacing w:after="0"/>
            </w:pPr>
            <w:r/>
            <w:r>
              <w:rPr>
                <w:rFonts w:ascii="Aptos" w:hAnsi="Aptos"/>
                <w:b/>
                <w:color w:val="FFFFFF"/>
                <w:sz w:val="18"/>
              </w:rPr>
              <w:t>How it applies / limitation</w:t>
            </w:r>
          </w:p>
        </w:tc>
      </w:tr>
      <w:tr>
        <w:tc>
          <w:tcPr>
            <w:tcW w:type="dxa" w:w="3360"/>
            <w:vAlign w:val="center"/>
            <w:shd w:fill="EAF1F8"/>
          </w:tcPr>
          <w:p>
            <w:pPr>
              <w:spacing w:after="0"/>
            </w:pPr>
            <w:r/>
            <w:r>
              <w:rPr>
                <w:rFonts w:ascii="Aptos" w:hAnsi="Aptos"/>
                <w:b w:val="0"/>
                <w:sz w:val="18"/>
              </w:rPr>
              <w:t>RF and modulation</w:t>
            </w:r>
          </w:p>
        </w:tc>
        <w:tc>
          <w:tcPr>
            <w:tcW w:type="dxa" w:w="3360"/>
            <w:vAlign w:val="center"/>
            <w:shd w:fill="EAF1F8"/>
          </w:tcPr>
          <w:p>
            <w:pPr>
              <w:spacing w:after="0"/>
            </w:pPr>
            <w:r/>
            <w:r>
              <w:rPr>
                <w:rFonts w:ascii="Aptos" w:hAnsi="Aptos"/>
                <w:b w:val="0"/>
                <w:sz w:val="18"/>
              </w:rPr>
              <w:t>CCSDS 401.0-B-32, Radio Frequency and Modulation Systems—Part 1: Earth Stations and Spacecraft</w:t>
            </w:r>
          </w:p>
        </w:tc>
        <w:tc>
          <w:tcPr>
            <w:tcW w:type="dxa" w:w="3360"/>
            <w:vAlign w:val="center"/>
            <w:shd w:fill="EAF1F8"/>
          </w:tcPr>
          <w:p>
            <w:pPr>
              <w:spacing w:after="0"/>
            </w:pPr>
            <w:r/>
            <w:r>
              <w:rPr>
                <w:rFonts w:ascii="Aptos" w:hAnsi="Aptos"/>
                <w:b w:val="0"/>
                <w:sz w:val="18"/>
              </w:rPr>
              <w:t>Provides recommendations for RF and modulation systems. The exact frequency, modulation, symbol rate, spectral mask and link configuration must be selected for the mission.</w:t>
            </w:r>
          </w:p>
        </w:tc>
      </w:tr>
      <w:tr>
        <w:tc>
          <w:tcPr>
            <w:tcW w:type="dxa" w:w="3360"/>
            <w:vAlign w:val="center"/>
          </w:tcPr>
          <w:p>
            <w:pPr>
              <w:spacing w:after="0"/>
            </w:pPr>
            <w:r/>
            <w:r>
              <w:rPr>
                <w:rFonts w:ascii="Aptos" w:hAnsi="Aptos"/>
                <w:b w:val="0"/>
                <w:sz w:val="18"/>
              </w:rPr>
              <w:t>TM synchronization and channel coding</w:t>
            </w:r>
          </w:p>
        </w:tc>
        <w:tc>
          <w:tcPr>
            <w:tcW w:type="dxa" w:w="3360"/>
            <w:vAlign w:val="center"/>
          </w:tcPr>
          <w:p>
            <w:pPr>
              <w:spacing w:after="0"/>
            </w:pPr>
            <w:r/>
            <w:r>
              <w:rPr>
                <w:rFonts w:ascii="Aptos" w:hAnsi="Aptos"/>
                <w:b w:val="0"/>
                <w:sz w:val="18"/>
              </w:rPr>
              <w:t>CCSDS 131.0-B, TM Synchronization and Channel Coding (use current issue applicable to project)</w:t>
            </w:r>
          </w:p>
        </w:tc>
        <w:tc>
          <w:tcPr>
            <w:tcW w:type="dxa" w:w="3360"/>
            <w:vAlign w:val="center"/>
          </w:tcPr>
          <w:p>
            <w:pPr>
              <w:spacing w:after="0"/>
            </w:pPr>
            <w:r/>
            <w:r>
              <w:rPr>
                <w:rFonts w:ascii="Aptos" w:hAnsi="Aptos"/>
                <w:b w:val="0"/>
                <w:sz w:val="18"/>
              </w:rPr>
              <w:t>Specifies synchronization and channel-coding approaches for synchronous space links. Select a specific coding option only after data rate, power, complexity and required performance are known.</w:t>
            </w:r>
          </w:p>
        </w:tc>
      </w:tr>
      <w:tr>
        <w:tc>
          <w:tcPr>
            <w:tcW w:type="dxa" w:w="3360"/>
            <w:vAlign w:val="center"/>
            <w:shd w:fill="EAF1F8"/>
          </w:tcPr>
          <w:p>
            <w:pPr>
              <w:spacing w:after="0"/>
            </w:pPr>
            <w:r/>
            <w:r>
              <w:rPr>
                <w:rFonts w:ascii="Aptos" w:hAnsi="Aptos"/>
                <w:b w:val="0"/>
                <w:sz w:val="18"/>
              </w:rPr>
              <w:t>Free-space propagation reference</w:t>
            </w:r>
          </w:p>
        </w:tc>
        <w:tc>
          <w:tcPr>
            <w:tcW w:type="dxa" w:w="3360"/>
            <w:vAlign w:val="center"/>
            <w:shd w:fill="EAF1F8"/>
          </w:tcPr>
          <w:p>
            <w:pPr>
              <w:spacing w:after="0"/>
            </w:pPr>
            <w:r/>
            <w:r>
              <w:rPr>
                <w:rFonts w:ascii="Aptos" w:hAnsi="Aptos"/>
                <w:b w:val="0"/>
                <w:sz w:val="18"/>
              </w:rPr>
              <w:t>ITU-R P.525-5 (11/2024)</w:t>
            </w:r>
          </w:p>
        </w:tc>
        <w:tc>
          <w:tcPr>
            <w:tcW w:type="dxa" w:w="3360"/>
            <w:vAlign w:val="center"/>
            <w:shd w:fill="EAF1F8"/>
          </w:tcPr>
          <w:p>
            <w:pPr>
              <w:spacing w:after="0"/>
            </w:pPr>
            <w:r/>
            <w:r>
              <w:rPr>
                <w:rFonts w:ascii="Aptos" w:hAnsi="Aptos"/>
                <w:b w:val="0"/>
                <w:sz w:val="18"/>
              </w:rPr>
              <w:t>In-force recommendation for calculating free-space attenuation. Used to independently check the path-loss calculation.</w:t>
            </w:r>
          </w:p>
        </w:tc>
      </w:tr>
      <w:tr>
        <w:tc>
          <w:tcPr>
            <w:tcW w:type="dxa" w:w="3360"/>
            <w:vAlign w:val="center"/>
          </w:tcPr>
          <w:p>
            <w:pPr>
              <w:spacing w:after="0"/>
            </w:pPr>
            <w:r/>
            <w:r>
              <w:rPr>
                <w:rFonts w:ascii="Aptos" w:hAnsi="Aptos"/>
                <w:b w:val="0"/>
                <w:sz w:val="18"/>
              </w:rPr>
              <w:t>Security (if required)</w:t>
            </w:r>
          </w:p>
        </w:tc>
        <w:tc>
          <w:tcPr>
            <w:tcW w:type="dxa" w:w="3360"/>
            <w:vAlign w:val="center"/>
          </w:tcPr>
          <w:p>
            <w:pPr>
              <w:spacing w:after="0"/>
            </w:pPr>
            <w:r/>
            <w:r>
              <w:rPr>
                <w:rFonts w:ascii="Aptos" w:hAnsi="Aptos"/>
                <w:b w:val="0"/>
                <w:sz w:val="18"/>
              </w:rPr>
              <w:t>CCSDS Space Data Link Security (SDLS) standards</w:t>
            </w:r>
          </w:p>
        </w:tc>
        <w:tc>
          <w:tcPr>
            <w:tcW w:type="dxa" w:w="3360"/>
            <w:vAlign w:val="center"/>
          </w:tcPr>
          <w:p>
            <w:pPr>
              <w:spacing w:after="0"/>
            </w:pPr>
            <w:r/>
            <w:r>
              <w:rPr>
                <w:rFonts w:ascii="Aptos" w:hAnsi="Aptos"/>
                <w:b w:val="0"/>
                <w:sz w:val="18"/>
              </w:rPr>
              <w:t>Security services may be needed depending on mission threat model and agency requirements; not included in this simple link budget.</w:t>
            </w:r>
          </w:p>
        </w:tc>
      </w:tr>
    </w:tbl>
    <w:p>
      <w:pPr>
        <w:spacing w:after="20"/>
      </w:pPr>
    </w:p>
    <w:p>
      <w:r>
        <w:t>Protocol decision: use CCSDS-compatible TM framing and consider CCSDS 131.0-B synchronization/channel coding as the baseline family for further design. Do not claim a specific CCSDS coding profile, modulation, data rate, or compliance status until the mission requirements and the exact applicable standard issue are verified.</w:t>
      </w:r>
    </w:p>
    <w:p>
      <w:pPr>
        <w:pStyle w:val="Heading1"/>
      </w:pPr>
      <w:r>
        <w:t>4. Independent Calculation Checks</w:t>
      </w:r>
    </w:p>
    <w:p>
      <w:pPr>
        <w:pStyle w:val="Heading2"/>
      </w:pPr>
      <w:r>
        <w:t>4.1 Wavelength</w:t>
      </w:r>
    </w:p>
    <w:p>
      <w:r>
        <w:t>Equation: λ = c / f, where c = 299,792,458 m/s.</w:t>
      </w:r>
    </w:p>
    <w:p>
      <w:r>
        <w:t>λ = 299,792,458 / (8.2 × 10⁹) = 0.03656 m ≈ 3.656 cm.</w:t>
      </w:r>
    </w:p>
    <w:p>
      <w:r>
        <w:t>Check: the wavelength is consistent with an 8.2 GHz carrier.</w:t>
      </w:r>
    </w:p>
    <w:p>
      <w:pPr>
        <w:pStyle w:val="Heading2"/>
      </w:pPr>
      <w:r>
        <w:t>4.2 Parabolic reflector gain</w:t>
      </w:r>
    </w:p>
    <w:p>
      <w:r>
        <w:t>Idealized gain equation: G = η(πD/λ)²; in dBi, GdBi = 10 log₁₀[η(πD/λ)²].</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45287"/>
          </w:tcPr>
          <w:p>
            <w:pPr>
              <w:spacing w:after="0"/>
            </w:pPr>
            <w:r/>
            <w:r>
              <w:rPr>
                <w:rFonts w:ascii="Aptos" w:hAnsi="Aptos"/>
                <w:b/>
                <w:color w:val="FFFFFF"/>
                <w:sz w:val="18"/>
              </w:rPr>
              <w:t>Antenna</w:t>
            </w:r>
          </w:p>
        </w:tc>
        <w:tc>
          <w:tcPr>
            <w:tcW w:type="dxa" w:w="2520"/>
            <w:vAlign w:val="center"/>
            <w:shd w:fill="145287"/>
          </w:tcPr>
          <w:p>
            <w:pPr>
              <w:spacing w:after="0"/>
            </w:pPr>
            <w:r/>
            <w:r>
              <w:rPr>
                <w:rFonts w:ascii="Aptos" w:hAnsi="Aptos"/>
                <w:b/>
                <w:color w:val="FFFFFF"/>
                <w:sz w:val="18"/>
              </w:rPr>
              <w:t>Substitution</w:t>
            </w:r>
          </w:p>
        </w:tc>
        <w:tc>
          <w:tcPr>
            <w:tcW w:type="dxa" w:w="2520"/>
            <w:vAlign w:val="center"/>
            <w:shd w:fill="145287"/>
          </w:tcPr>
          <w:p>
            <w:pPr>
              <w:spacing w:after="0"/>
            </w:pPr>
            <w:r/>
            <w:r>
              <w:rPr>
                <w:rFonts w:ascii="Aptos" w:hAnsi="Aptos"/>
                <w:b/>
                <w:color w:val="FFFFFF"/>
                <w:sz w:val="18"/>
              </w:rPr>
              <w:t>Independent result</w:t>
            </w:r>
          </w:p>
        </w:tc>
        <w:tc>
          <w:tcPr>
            <w:tcW w:type="dxa" w:w="2520"/>
            <w:vAlign w:val="center"/>
            <w:shd w:fill="145287"/>
          </w:tcPr>
          <w:p>
            <w:pPr>
              <w:spacing w:after="0"/>
            </w:pPr>
            <w:r/>
            <w:r>
              <w:rPr>
                <w:rFonts w:ascii="Aptos" w:hAnsi="Aptos"/>
                <w:b/>
                <w:color w:val="FFFFFF"/>
                <w:sz w:val="18"/>
              </w:rPr>
              <w:t>Week 2 value</w:t>
            </w:r>
          </w:p>
        </w:tc>
      </w:tr>
      <w:tr>
        <w:tc>
          <w:tcPr>
            <w:tcW w:type="dxa" w:w="2520"/>
            <w:vAlign w:val="center"/>
            <w:shd w:fill="EAF1F8"/>
          </w:tcPr>
          <w:p>
            <w:pPr>
              <w:spacing w:after="0"/>
            </w:pPr>
            <w:r/>
            <w:r>
              <w:rPr>
                <w:rFonts w:ascii="Aptos" w:hAnsi="Aptos"/>
                <w:b w:val="0"/>
                <w:sz w:val="18"/>
              </w:rPr>
              <w:t>Spacecraft</w:t>
            </w:r>
          </w:p>
        </w:tc>
        <w:tc>
          <w:tcPr>
            <w:tcW w:type="dxa" w:w="2520"/>
            <w:vAlign w:val="center"/>
            <w:shd w:fill="EAF1F8"/>
          </w:tcPr>
          <w:p>
            <w:pPr>
              <w:spacing w:after="0"/>
            </w:pPr>
            <w:r/>
            <w:r>
              <w:rPr>
                <w:rFonts w:ascii="Aptos" w:hAnsi="Aptos"/>
                <w:b w:val="0"/>
                <w:sz w:val="18"/>
              </w:rPr>
              <w:t>10log₁₀[0.55 × (π × 0.30 / 0.03656)²]</w:t>
            </w:r>
          </w:p>
        </w:tc>
        <w:tc>
          <w:tcPr>
            <w:tcW w:type="dxa" w:w="2520"/>
            <w:vAlign w:val="center"/>
            <w:shd w:fill="EAF1F8"/>
          </w:tcPr>
          <w:p>
            <w:pPr>
              <w:spacing w:after="0"/>
            </w:pPr>
            <w:r/>
            <w:r>
              <w:rPr>
                <w:rFonts w:ascii="Aptos" w:hAnsi="Aptos"/>
                <w:b w:val="0"/>
                <w:sz w:val="18"/>
              </w:rPr>
              <w:t>25.63 dBi</w:t>
            </w:r>
          </w:p>
        </w:tc>
        <w:tc>
          <w:tcPr>
            <w:tcW w:type="dxa" w:w="2520"/>
            <w:vAlign w:val="center"/>
            <w:shd w:fill="EAF1F8"/>
          </w:tcPr>
          <w:p>
            <w:pPr>
              <w:spacing w:after="0"/>
            </w:pPr>
            <w:r/>
            <w:r>
              <w:rPr>
                <w:rFonts w:ascii="Aptos" w:hAnsi="Aptos"/>
                <w:b w:val="0"/>
                <w:sz w:val="18"/>
              </w:rPr>
              <w:t>25.63 dBi</w:t>
            </w:r>
          </w:p>
        </w:tc>
      </w:tr>
      <w:tr>
        <w:tc>
          <w:tcPr>
            <w:tcW w:type="dxa" w:w="2520"/>
            <w:vAlign w:val="center"/>
          </w:tcPr>
          <w:p>
            <w:pPr>
              <w:spacing w:after="0"/>
            </w:pPr>
            <w:r/>
            <w:r>
              <w:rPr>
                <w:rFonts w:ascii="Aptos" w:hAnsi="Aptos"/>
                <w:b w:val="0"/>
                <w:sz w:val="18"/>
              </w:rPr>
              <w:t>Ground</w:t>
            </w:r>
          </w:p>
        </w:tc>
        <w:tc>
          <w:tcPr>
            <w:tcW w:type="dxa" w:w="2520"/>
            <w:vAlign w:val="center"/>
          </w:tcPr>
          <w:p>
            <w:pPr>
              <w:spacing w:after="0"/>
            </w:pPr>
            <w:r/>
            <w:r>
              <w:rPr>
                <w:rFonts w:ascii="Aptos" w:hAnsi="Aptos"/>
                <w:b w:val="0"/>
                <w:sz w:val="18"/>
              </w:rPr>
              <w:t>10log₁₀[0.60 × (π × 3.0 / 0.03656)²]</w:t>
            </w:r>
          </w:p>
        </w:tc>
        <w:tc>
          <w:tcPr>
            <w:tcW w:type="dxa" w:w="2520"/>
            <w:vAlign w:val="center"/>
          </w:tcPr>
          <w:p>
            <w:pPr>
              <w:spacing w:after="0"/>
            </w:pPr>
            <w:r/>
            <w:r>
              <w:rPr>
                <w:rFonts w:ascii="Aptos" w:hAnsi="Aptos"/>
                <w:b w:val="0"/>
                <w:sz w:val="18"/>
              </w:rPr>
              <w:t>46.01 dBi</w:t>
            </w:r>
          </w:p>
        </w:tc>
        <w:tc>
          <w:tcPr>
            <w:tcW w:type="dxa" w:w="2520"/>
            <w:vAlign w:val="center"/>
          </w:tcPr>
          <w:p>
            <w:pPr>
              <w:spacing w:after="0"/>
            </w:pPr>
            <w:r/>
            <w:r>
              <w:rPr>
                <w:rFonts w:ascii="Aptos" w:hAnsi="Aptos"/>
                <w:b w:val="0"/>
                <w:sz w:val="18"/>
              </w:rPr>
              <w:t>46.01 dBi</w:t>
            </w:r>
          </w:p>
        </w:tc>
      </w:tr>
    </w:tbl>
    <w:p>
      <w:pPr>
        <w:spacing w:after="20"/>
      </w:pPr>
    </w:p>
    <w:p>
      <w:r>
        <w:t>Validation: both gain values agree with the stated assumptions to rounding. Gain is highly dependent on aperture efficiency; the assumed efficiencies must not be presented as measured antenna characteristics.</w:t>
      </w:r>
    </w:p>
    <w:p>
      <w:pPr>
        <w:pStyle w:val="Heading2"/>
      </w:pPr>
      <w:r>
        <w:t>4.3 Approximate half-power beamwidth</w:t>
      </w:r>
    </w:p>
    <w:p>
      <w:r>
        <w:t>Approximation for a circular parabolic reflector: HPBW (degrees) ≈ 70 λ / 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45287"/>
          </w:tcPr>
          <w:p>
            <w:pPr>
              <w:spacing w:after="0"/>
            </w:pPr>
            <w:r/>
            <w:r>
              <w:rPr>
                <w:rFonts w:ascii="Aptos" w:hAnsi="Aptos"/>
                <w:b/>
                <w:color w:val="FFFFFF"/>
                <w:sz w:val="18"/>
              </w:rPr>
              <w:t>Antenna</w:t>
            </w:r>
          </w:p>
        </w:tc>
        <w:tc>
          <w:tcPr>
            <w:tcW w:type="dxa" w:w="3360"/>
            <w:vAlign w:val="center"/>
            <w:shd w:fill="145287"/>
          </w:tcPr>
          <w:p>
            <w:pPr>
              <w:spacing w:after="0"/>
            </w:pPr>
            <w:r/>
            <w:r>
              <w:rPr>
                <w:rFonts w:ascii="Aptos" w:hAnsi="Aptos"/>
                <w:b/>
                <w:color w:val="FFFFFF"/>
                <w:sz w:val="18"/>
              </w:rPr>
              <w:t>Calculation</w:t>
            </w:r>
          </w:p>
        </w:tc>
        <w:tc>
          <w:tcPr>
            <w:tcW w:type="dxa" w:w="3360"/>
            <w:vAlign w:val="center"/>
            <w:shd w:fill="145287"/>
          </w:tcPr>
          <w:p>
            <w:pPr>
              <w:spacing w:after="0"/>
            </w:pPr>
            <w:r/>
            <w:r>
              <w:rPr>
                <w:rFonts w:ascii="Aptos" w:hAnsi="Aptos"/>
                <w:b/>
                <w:color w:val="FFFFFF"/>
                <w:sz w:val="18"/>
              </w:rPr>
              <w:t>Result</w:t>
            </w:r>
          </w:p>
        </w:tc>
      </w:tr>
      <w:tr>
        <w:tc>
          <w:tcPr>
            <w:tcW w:type="dxa" w:w="3360"/>
            <w:vAlign w:val="center"/>
            <w:shd w:fill="EAF1F8"/>
          </w:tcPr>
          <w:p>
            <w:pPr>
              <w:spacing w:after="0"/>
            </w:pPr>
            <w:r/>
            <w:r>
              <w:rPr>
                <w:rFonts w:ascii="Aptos" w:hAnsi="Aptos"/>
                <w:b w:val="0"/>
                <w:sz w:val="18"/>
              </w:rPr>
              <w:t>Spacecraft, 0.30 m</w:t>
            </w:r>
          </w:p>
        </w:tc>
        <w:tc>
          <w:tcPr>
            <w:tcW w:type="dxa" w:w="3360"/>
            <w:vAlign w:val="center"/>
            <w:shd w:fill="EAF1F8"/>
          </w:tcPr>
          <w:p>
            <w:pPr>
              <w:spacing w:after="0"/>
            </w:pPr>
            <w:r/>
            <w:r>
              <w:rPr>
                <w:rFonts w:ascii="Aptos" w:hAnsi="Aptos"/>
                <w:b w:val="0"/>
                <w:sz w:val="18"/>
              </w:rPr>
              <w:t>70 × 0.03656 / 0.30</w:t>
            </w:r>
          </w:p>
        </w:tc>
        <w:tc>
          <w:tcPr>
            <w:tcW w:type="dxa" w:w="3360"/>
            <w:vAlign w:val="center"/>
            <w:shd w:fill="EAF1F8"/>
          </w:tcPr>
          <w:p>
            <w:pPr>
              <w:spacing w:after="0"/>
            </w:pPr>
            <w:r/>
            <w:r>
              <w:rPr>
                <w:rFonts w:ascii="Aptos" w:hAnsi="Aptos"/>
                <w:b w:val="0"/>
                <w:sz w:val="18"/>
              </w:rPr>
              <w:t>8.53°</w:t>
            </w:r>
          </w:p>
        </w:tc>
      </w:tr>
      <w:tr>
        <w:tc>
          <w:tcPr>
            <w:tcW w:type="dxa" w:w="3360"/>
            <w:vAlign w:val="center"/>
          </w:tcPr>
          <w:p>
            <w:pPr>
              <w:spacing w:after="0"/>
            </w:pPr>
            <w:r/>
            <w:r>
              <w:rPr>
                <w:rFonts w:ascii="Aptos" w:hAnsi="Aptos"/>
                <w:b w:val="0"/>
                <w:sz w:val="18"/>
              </w:rPr>
              <w:t>Ground, 3.0 m</w:t>
            </w:r>
          </w:p>
        </w:tc>
        <w:tc>
          <w:tcPr>
            <w:tcW w:type="dxa" w:w="3360"/>
            <w:vAlign w:val="center"/>
          </w:tcPr>
          <w:p>
            <w:pPr>
              <w:spacing w:after="0"/>
            </w:pPr>
            <w:r/>
            <w:r>
              <w:rPr>
                <w:rFonts w:ascii="Aptos" w:hAnsi="Aptos"/>
                <w:b w:val="0"/>
                <w:sz w:val="18"/>
              </w:rPr>
              <w:t>70 × 0.03656 / 3.0</w:t>
            </w:r>
          </w:p>
        </w:tc>
        <w:tc>
          <w:tcPr>
            <w:tcW w:type="dxa" w:w="3360"/>
            <w:vAlign w:val="center"/>
          </w:tcPr>
          <w:p>
            <w:pPr>
              <w:spacing w:after="0"/>
            </w:pPr>
            <w:r/>
            <w:r>
              <w:rPr>
                <w:rFonts w:ascii="Aptos" w:hAnsi="Aptos"/>
                <w:b w:val="0"/>
                <w:sz w:val="18"/>
              </w:rPr>
              <w:t>0.85°</w:t>
            </w:r>
          </w:p>
        </w:tc>
      </w:tr>
    </w:tbl>
    <w:p>
      <w:pPr>
        <w:spacing w:after="20"/>
      </w:pPr>
    </w:p>
    <w:p>
      <w:r>
        <w:t>These are approximate main-lobe widths, not detailed radiation patterns. Actual beam shape and sidelobes depend on reflector illumination, feed design, blockage and construction.</w:t>
      </w:r>
    </w:p>
    <w:p>
      <w:pPr>
        <w:pStyle w:val="Heading2"/>
      </w:pPr>
      <w:r>
        <w:t>4.4 Free-space path loss</w:t>
      </w:r>
    </w:p>
    <w:p>
      <w:r>
        <w:t>For frequency in GHz and range in km: FSPL(dB) = 92.45 + 20log₁₀(fGHz) + 20log₁₀(Rkm). This is the conventional free-space relation consistent with the method in ITU-R P.525.</w:t>
      </w:r>
    </w:p>
    <w:p>
      <w:r>
        <w:t>At f = 8.2 GHz and R = 1,500 km: FSPL = 92.45 + 20log₁₀(8.2) + 20log₁₀(1,500) = 174.25 dB (approximately).</w:t>
      </w:r>
    </w:p>
    <w:p>
      <w:r>
        <w:t>Validation note: the Week 2 FSPL of 174.25 dB corresponds to a slant range close to 1,500 km at 8.2 GHz. If Week 2 used a different range, the range input must be corrected or the FSPL recomputed.</w:t>
      </w:r>
    </w:p>
    <w:p>
      <w:pPr>
        <w:pStyle w:val="Heading2"/>
      </w:pPr>
      <w:r>
        <w:t>4.5 Received-power reconstruction</w:t>
      </w:r>
    </w:p>
    <w:p>
      <w:r>
        <w:t>Pr(dBW) = Pt(dBW) + Gsc(dBi) + Gg(dBi) − FSPL(dB) − Ladditional(dB).</w:t>
      </w:r>
    </w:p>
    <w:p>
      <w:r>
        <w:t>Pt = 10log₁₀(5 W) = 6.99 dBW. Substituting: Pr = 6.99 + 25.63 + 46.01 − 174.25 − 3.50 = −99.12 dBW (approximately).</w:t>
      </w:r>
    </w:p>
    <w:p>
      <w:r>
        <w:t>This reproduces the Week 2 received-power figure under the reconstructed 5 W transmitter and 3.5 dB aggregate-loss assumptions. Because those two inputs were not independently confirmed as mission requirements, this is an arithmetic consistency check, not a validated operational link result.</w:t>
      </w:r>
    </w:p>
    <w:p>
      <w:pPr>
        <w:pStyle w:val="Heading1"/>
      </w:pPr>
      <w:r>
        <w:t>5. Sensitivity and Error / Uncertainty Analysis</w:t>
      </w:r>
    </w:p>
    <w:p>
      <w:r>
        <w:t>The following sensitivities are first-order estimates. They show how assumptions affect the calculated received power; they are not statistical uncertainty bounds.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45287"/>
          </w:tcPr>
          <w:p>
            <w:pPr>
              <w:spacing w:after="0"/>
            </w:pPr>
            <w:r/>
            <w:r>
              <w:rPr>
                <w:rFonts w:ascii="Aptos" w:hAnsi="Aptos"/>
                <w:b/>
                <w:color w:val="FFFFFF"/>
                <w:sz w:val="18"/>
              </w:rPr>
              <w:t>Change from nominal</w:t>
            </w:r>
          </w:p>
        </w:tc>
        <w:tc>
          <w:tcPr>
            <w:tcW w:type="dxa" w:w="3360"/>
            <w:vAlign w:val="center"/>
            <w:shd w:fill="145287"/>
          </w:tcPr>
          <w:p>
            <w:pPr>
              <w:spacing w:after="0"/>
            </w:pPr>
            <w:r/>
            <w:r>
              <w:rPr>
                <w:rFonts w:ascii="Aptos" w:hAnsi="Aptos"/>
                <w:b/>
                <w:color w:val="FFFFFF"/>
                <w:sz w:val="18"/>
              </w:rPr>
              <w:t>Approximate effect</w:t>
            </w:r>
          </w:p>
        </w:tc>
        <w:tc>
          <w:tcPr>
            <w:tcW w:type="dxa" w:w="3360"/>
            <w:vAlign w:val="center"/>
            <w:shd w:fill="145287"/>
          </w:tcPr>
          <w:p>
            <w:pPr>
              <w:spacing w:after="0"/>
            </w:pPr>
            <w:r/>
            <w:r>
              <w:rPr>
                <w:rFonts w:ascii="Aptos" w:hAnsi="Aptos"/>
                <w:b/>
                <w:color w:val="FFFFFF"/>
                <w:sz w:val="18"/>
              </w:rPr>
              <w:t>Interpretation</w:t>
            </w:r>
          </w:p>
        </w:tc>
      </w:tr>
      <w:tr>
        <w:tc>
          <w:tcPr>
            <w:tcW w:type="dxa" w:w="3360"/>
            <w:vAlign w:val="center"/>
            <w:shd w:fill="EAF1F8"/>
          </w:tcPr>
          <w:p>
            <w:pPr>
              <w:spacing w:after="0"/>
            </w:pPr>
            <w:r/>
            <w:r>
              <w:rPr>
                <w:rFonts w:ascii="Aptos" w:hAnsi="Aptos"/>
                <w:b w:val="0"/>
                <w:sz w:val="18"/>
              </w:rPr>
              <w:t>Slant range doubles (1,500 to 3,000 km)</w:t>
            </w:r>
          </w:p>
        </w:tc>
        <w:tc>
          <w:tcPr>
            <w:tcW w:type="dxa" w:w="3360"/>
            <w:vAlign w:val="center"/>
            <w:shd w:fill="EAF1F8"/>
          </w:tcPr>
          <w:p>
            <w:pPr>
              <w:spacing w:after="0"/>
            </w:pPr>
            <w:r/>
            <w:r>
              <w:rPr>
                <w:rFonts w:ascii="Aptos" w:hAnsi="Aptos"/>
                <w:b w:val="0"/>
                <w:sz w:val="18"/>
              </w:rPr>
              <w:t>FSPL increases by 6.02 dB; Pr decreases by 6.02 dB</w:t>
            </w:r>
          </w:p>
        </w:tc>
        <w:tc>
          <w:tcPr>
            <w:tcW w:type="dxa" w:w="3360"/>
            <w:vAlign w:val="center"/>
            <w:shd w:fill="EAF1F8"/>
          </w:tcPr>
          <w:p>
            <w:pPr>
              <w:spacing w:after="0"/>
            </w:pPr>
            <w:r/>
            <w:r>
              <w:rPr>
                <w:rFonts w:ascii="Aptos" w:hAnsi="Aptos"/>
                <w:b w:val="0"/>
                <w:sz w:val="18"/>
              </w:rPr>
              <w:t>Range is dynamic during a pass; use actual orbit geometry and elevation-time profile.</w:t>
            </w:r>
          </w:p>
        </w:tc>
      </w:tr>
      <w:tr>
        <w:tc>
          <w:tcPr>
            <w:tcW w:type="dxa" w:w="3360"/>
            <w:vAlign w:val="center"/>
          </w:tcPr>
          <w:p>
            <w:pPr>
              <w:spacing w:after="0"/>
            </w:pPr>
            <w:r/>
            <w:r>
              <w:rPr>
                <w:rFonts w:ascii="Aptos" w:hAnsi="Aptos"/>
                <w:b w:val="0"/>
                <w:sz w:val="18"/>
              </w:rPr>
              <w:t>Spacecraft antenna diameter decreases 10%</w:t>
            </w:r>
          </w:p>
        </w:tc>
        <w:tc>
          <w:tcPr>
            <w:tcW w:type="dxa" w:w="3360"/>
            <w:vAlign w:val="center"/>
          </w:tcPr>
          <w:p>
            <w:pPr>
              <w:spacing w:after="0"/>
            </w:pPr>
            <w:r/>
            <w:r>
              <w:rPr>
                <w:rFonts w:ascii="Aptos" w:hAnsi="Aptos"/>
                <w:b w:val="0"/>
                <w:sz w:val="18"/>
              </w:rPr>
              <w:t>Gain decreases about 0.92 dB (gain scales as D²)</w:t>
            </w:r>
          </w:p>
        </w:tc>
        <w:tc>
          <w:tcPr>
            <w:tcW w:type="dxa" w:w="3360"/>
            <w:vAlign w:val="center"/>
          </w:tcPr>
          <w:p>
            <w:pPr>
              <w:spacing w:after="0"/>
            </w:pPr>
            <w:r/>
            <w:r>
              <w:rPr>
                <w:rFonts w:ascii="Aptos" w:hAnsi="Aptos"/>
                <w:b w:val="0"/>
                <w:sz w:val="18"/>
              </w:rPr>
              <w:t>Antenna size and deployed geometry materially affect link performance.</w:t>
            </w:r>
          </w:p>
        </w:tc>
      </w:tr>
      <w:tr>
        <w:tc>
          <w:tcPr>
            <w:tcW w:type="dxa" w:w="3360"/>
            <w:vAlign w:val="center"/>
            <w:shd w:fill="EAF1F8"/>
          </w:tcPr>
          <w:p>
            <w:pPr>
              <w:spacing w:after="0"/>
            </w:pPr>
            <w:r/>
            <w:r>
              <w:rPr>
                <w:rFonts w:ascii="Aptos" w:hAnsi="Aptos"/>
                <w:b w:val="0"/>
                <w:sz w:val="18"/>
              </w:rPr>
              <w:t>Spacecraft pointing loss</w:t>
            </w:r>
          </w:p>
        </w:tc>
        <w:tc>
          <w:tcPr>
            <w:tcW w:type="dxa" w:w="3360"/>
            <w:vAlign w:val="center"/>
            <w:shd w:fill="EAF1F8"/>
          </w:tcPr>
          <w:p>
            <w:pPr>
              <w:spacing w:after="0"/>
            </w:pPr>
            <w:r/>
            <w:r>
              <w:rPr>
                <w:rFonts w:ascii="Aptos" w:hAnsi="Aptos"/>
                <w:b w:val="0"/>
                <w:sz w:val="18"/>
              </w:rPr>
              <w:t>Not calculated; must be derived from actual antenna pattern and pointing error</w:t>
            </w:r>
          </w:p>
        </w:tc>
        <w:tc>
          <w:tcPr>
            <w:tcW w:type="dxa" w:w="3360"/>
            <w:vAlign w:val="center"/>
            <w:shd w:fill="EAF1F8"/>
          </w:tcPr>
          <w:p>
            <w:pPr>
              <w:spacing w:after="0"/>
            </w:pPr>
            <w:r/>
            <w:r>
              <w:rPr>
                <w:rFonts w:ascii="Aptos" w:hAnsi="Aptos"/>
                <w:b w:val="0"/>
                <w:sz w:val="18"/>
              </w:rPr>
              <w:t>Do not infer pointing loss from HPBW alone. Need pointing-error distribution and antenna pattern.</w:t>
            </w:r>
          </w:p>
        </w:tc>
      </w:tr>
      <w:tr>
        <w:tc>
          <w:tcPr>
            <w:tcW w:type="dxa" w:w="3360"/>
            <w:vAlign w:val="center"/>
          </w:tcPr>
          <w:p>
            <w:pPr>
              <w:spacing w:after="0"/>
            </w:pPr>
            <w:r/>
            <w:r>
              <w:rPr>
                <w:rFonts w:ascii="Aptos" w:hAnsi="Aptos"/>
                <w:b w:val="0"/>
                <w:sz w:val="18"/>
              </w:rPr>
              <w:t>Aperture efficiency uncertainty</w:t>
            </w:r>
          </w:p>
        </w:tc>
        <w:tc>
          <w:tcPr>
            <w:tcW w:type="dxa" w:w="3360"/>
            <w:vAlign w:val="center"/>
          </w:tcPr>
          <w:p>
            <w:pPr>
              <w:spacing w:after="0"/>
            </w:pPr>
            <w:r/>
            <w:r>
              <w:rPr>
                <w:rFonts w:ascii="Aptos" w:hAnsi="Aptos"/>
                <w:b w:val="0"/>
                <w:sz w:val="18"/>
              </w:rPr>
              <w:t>A 10% relative change in η changes gain by about 0.41 dB</w:t>
            </w:r>
          </w:p>
        </w:tc>
        <w:tc>
          <w:tcPr>
            <w:tcW w:type="dxa" w:w="3360"/>
            <w:vAlign w:val="center"/>
          </w:tcPr>
          <w:p>
            <w:pPr>
              <w:spacing w:after="0"/>
            </w:pPr>
            <w:r/>
            <w:r>
              <w:rPr>
                <w:rFonts w:ascii="Aptos" w:hAnsi="Aptos"/>
                <w:b w:val="0"/>
                <w:sz w:val="18"/>
              </w:rPr>
              <w:t>Efficiency requires antenna design data or measurement.</w:t>
            </w:r>
          </w:p>
        </w:tc>
      </w:tr>
      <w:tr>
        <w:tc>
          <w:tcPr>
            <w:tcW w:type="dxa" w:w="3360"/>
            <w:vAlign w:val="center"/>
            <w:shd w:fill="EAF1F8"/>
          </w:tcPr>
          <w:p>
            <w:pPr>
              <w:spacing w:after="0"/>
            </w:pPr>
            <w:r/>
            <w:r>
              <w:rPr>
                <w:rFonts w:ascii="Aptos" w:hAnsi="Aptos"/>
                <w:b w:val="0"/>
                <w:sz w:val="18"/>
              </w:rPr>
              <w:t>Additional losses uncertain by ±1 dB</w:t>
            </w:r>
          </w:p>
        </w:tc>
        <w:tc>
          <w:tcPr>
            <w:tcW w:type="dxa" w:w="3360"/>
            <w:vAlign w:val="center"/>
            <w:shd w:fill="EAF1F8"/>
          </w:tcPr>
          <w:p>
            <w:pPr>
              <w:spacing w:after="0"/>
            </w:pPr>
            <w:r/>
            <w:r>
              <w:rPr>
                <w:rFonts w:ascii="Aptos" w:hAnsi="Aptos"/>
                <w:b w:val="0"/>
                <w:sz w:val="18"/>
              </w:rPr>
              <w:t>Received power changes by ∓1 dB</w:t>
            </w:r>
          </w:p>
        </w:tc>
        <w:tc>
          <w:tcPr>
            <w:tcW w:type="dxa" w:w="3360"/>
            <w:vAlign w:val="center"/>
            <w:shd w:fill="EAF1F8"/>
          </w:tcPr>
          <w:p>
            <w:pPr>
              <w:spacing w:after="0"/>
            </w:pPr>
            <w:r/>
            <w:r>
              <w:rPr>
                <w:rFonts w:ascii="Aptos" w:hAnsi="Aptos"/>
                <w:b w:val="0"/>
                <w:sz w:val="18"/>
              </w:rPr>
              <w:t>Itemize feeder, polarization, pointing, atmospheric, implementation and other applicable losses.</w:t>
            </w:r>
          </w:p>
        </w:tc>
      </w:tr>
      <w:tr>
        <w:tc>
          <w:tcPr>
            <w:tcW w:type="dxa" w:w="3360"/>
            <w:vAlign w:val="center"/>
          </w:tcPr>
          <w:p>
            <w:pPr>
              <w:spacing w:after="0"/>
            </w:pPr>
            <w:r/>
            <w:r>
              <w:rPr>
                <w:rFonts w:ascii="Aptos" w:hAnsi="Aptos"/>
                <w:b w:val="0"/>
                <w:sz w:val="18"/>
              </w:rPr>
              <w:t>Frequency or regulatory assignment changes</w:t>
            </w:r>
          </w:p>
        </w:tc>
        <w:tc>
          <w:tcPr>
            <w:tcW w:type="dxa" w:w="3360"/>
            <w:vAlign w:val="center"/>
          </w:tcPr>
          <w:p>
            <w:pPr>
              <w:spacing w:after="0"/>
            </w:pPr>
            <w:r/>
            <w:r>
              <w:rPr>
                <w:rFonts w:ascii="Aptos" w:hAnsi="Aptos"/>
                <w:b w:val="0"/>
                <w:sz w:val="18"/>
              </w:rPr>
              <w:t>Changes wavelength, gain, FSPL and allowable system configuration</w:t>
            </w:r>
          </w:p>
        </w:tc>
        <w:tc>
          <w:tcPr>
            <w:tcW w:type="dxa" w:w="3360"/>
            <w:vAlign w:val="center"/>
          </w:tcPr>
          <w:p>
            <w:pPr>
              <w:spacing w:after="0"/>
            </w:pPr>
            <w:r/>
            <w:r>
              <w:rPr>
                <w:rFonts w:ascii="Aptos" w:hAnsi="Aptos"/>
                <w:b w:val="0"/>
                <w:sz w:val="18"/>
              </w:rPr>
              <w:t>The nominal 8.2 GHz value is a study assumption, not an authorization.</w:t>
            </w:r>
          </w:p>
        </w:tc>
      </w:tr>
    </w:tbl>
    <w:p>
      <w:pPr>
        <w:spacing w:after="20"/>
      </w:pPr>
    </w:p>
    <w:p>
      <w:r>
        <w:t>Important omissions for a full link closure: receiver system noise temperature, noise bandwidth, data rate, modulation, coding rate, implementation loss, required Eb/N0 or equivalent threshold, required availability, atmospheric attenuation, polarization mismatch, and explicit link margin. A received power estimate cannot by itself establish that the link meets a bit-error-rate or mission availability requirement.</w:t>
      </w:r>
    </w:p>
    <w:p>
      <w:pPr>
        <w:pStyle w:val="Heading1"/>
      </w:pPr>
      <w:r>
        <w:t>6. Comparison, Findings and Revisions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45287"/>
          </w:tcPr>
          <w:p>
            <w:pPr>
              <w:spacing w:after="0"/>
            </w:pPr>
            <w:r/>
            <w:r>
              <w:rPr>
                <w:rFonts w:ascii="Aptos" w:hAnsi="Aptos"/>
                <w:b/>
                <w:color w:val="FFFFFF"/>
                <w:sz w:val="18"/>
              </w:rPr>
              <w:t>Item</w:t>
            </w:r>
          </w:p>
        </w:tc>
        <w:tc>
          <w:tcPr>
            <w:tcW w:type="dxa" w:w="3360"/>
            <w:vAlign w:val="center"/>
            <w:shd w:fill="145287"/>
          </w:tcPr>
          <w:p>
            <w:pPr>
              <w:spacing w:after="0"/>
            </w:pPr>
            <w:r/>
            <w:r>
              <w:rPr>
                <w:rFonts w:ascii="Aptos" w:hAnsi="Aptos"/>
                <w:b/>
                <w:color w:val="FFFFFF"/>
                <w:sz w:val="18"/>
              </w:rPr>
              <w:t>Week 2 reported value</w:t>
            </w:r>
          </w:p>
        </w:tc>
        <w:tc>
          <w:tcPr>
            <w:tcW w:type="dxa" w:w="3360"/>
            <w:vAlign w:val="center"/>
            <w:shd w:fill="145287"/>
          </w:tcPr>
          <w:p>
            <w:pPr>
              <w:spacing w:after="0"/>
            </w:pPr>
            <w:r/>
            <w:r>
              <w:rPr>
                <w:rFonts w:ascii="Aptos" w:hAnsi="Aptos"/>
                <w:b/>
                <w:color w:val="FFFFFF"/>
                <w:sz w:val="18"/>
              </w:rPr>
              <w:t>Week 3 check / disposition</w:t>
            </w:r>
          </w:p>
        </w:tc>
      </w:tr>
      <w:tr>
        <w:tc>
          <w:tcPr>
            <w:tcW w:type="dxa" w:w="3360"/>
            <w:vAlign w:val="center"/>
            <w:shd w:fill="EAF1F8"/>
          </w:tcPr>
          <w:p>
            <w:pPr>
              <w:spacing w:after="0"/>
            </w:pPr>
            <w:r/>
            <w:r>
              <w:rPr>
                <w:rFonts w:ascii="Aptos" w:hAnsi="Aptos"/>
                <w:b w:val="0"/>
                <w:sz w:val="18"/>
              </w:rPr>
              <w:t>Spacecraft antenna gain</w:t>
            </w:r>
          </w:p>
        </w:tc>
        <w:tc>
          <w:tcPr>
            <w:tcW w:type="dxa" w:w="3360"/>
            <w:vAlign w:val="center"/>
            <w:shd w:fill="EAF1F8"/>
          </w:tcPr>
          <w:p>
            <w:pPr>
              <w:spacing w:after="0"/>
            </w:pPr>
            <w:r/>
            <w:r>
              <w:rPr>
                <w:rFonts w:ascii="Aptos" w:hAnsi="Aptos"/>
                <w:b w:val="0"/>
                <w:sz w:val="18"/>
              </w:rPr>
              <w:t>25.63 dBi</w:t>
            </w:r>
          </w:p>
        </w:tc>
        <w:tc>
          <w:tcPr>
            <w:tcW w:type="dxa" w:w="3360"/>
            <w:vAlign w:val="center"/>
            <w:shd w:fill="EAF1F8"/>
          </w:tcPr>
          <w:p>
            <w:pPr>
              <w:spacing w:after="0"/>
            </w:pPr>
            <w:r/>
            <w:r>
              <w:rPr>
                <w:rFonts w:ascii="Aptos" w:hAnsi="Aptos"/>
                <w:b w:val="0"/>
                <w:sz w:val="18"/>
              </w:rPr>
              <w:t>Reproduced from D=0.30 m, η=0.55, f=8.2 GHz; retained, conditional on assumptions.</w:t>
            </w:r>
          </w:p>
        </w:tc>
      </w:tr>
      <w:tr>
        <w:tc>
          <w:tcPr>
            <w:tcW w:type="dxa" w:w="3360"/>
            <w:vAlign w:val="center"/>
          </w:tcPr>
          <w:p>
            <w:pPr>
              <w:spacing w:after="0"/>
            </w:pPr>
            <w:r/>
            <w:r>
              <w:rPr>
                <w:rFonts w:ascii="Aptos" w:hAnsi="Aptos"/>
                <w:b w:val="0"/>
                <w:sz w:val="18"/>
              </w:rPr>
              <w:t>Spacecraft HPBW</w:t>
            </w:r>
          </w:p>
        </w:tc>
        <w:tc>
          <w:tcPr>
            <w:tcW w:type="dxa" w:w="3360"/>
            <w:vAlign w:val="center"/>
          </w:tcPr>
          <w:p>
            <w:pPr>
              <w:spacing w:after="0"/>
            </w:pPr>
            <w:r/>
            <w:r>
              <w:rPr>
                <w:rFonts w:ascii="Aptos" w:hAnsi="Aptos"/>
                <w:b w:val="0"/>
                <w:sz w:val="18"/>
              </w:rPr>
              <w:t>8.53°</w:t>
            </w:r>
          </w:p>
        </w:tc>
        <w:tc>
          <w:tcPr>
            <w:tcW w:type="dxa" w:w="3360"/>
            <w:vAlign w:val="center"/>
          </w:tcPr>
          <w:p>
            <w:pPr>
              <w:spacing w:after="0"/>
            </w:pPr>
            <w:r/>
            <w:r>
              <w:rPr>
                <w:rFonts w:ascii="Aptos" w:hAnsi="Aptos"/>
                <w:b w:val="0"/>
                <w:sz w:val="18"/>
              </w:rPr>
              <w:t>Reproduced using approximate 70λ/D relation; label as approximate.</w:t>
            </w:r>
          </w:p>
        </w:tc>
      </w:tr>
      <w:tr>
        <w:tc>
          <w:tcPr>
            <w:tcW w:type="dxa" w:w="3360"/>
            <w:vAlign w:val="center"/>
            <w:shd w:fill="EAF1F8"/>
          </w:tcPr>
          <w:p>
            <w:pPr>
              <w:spacing w:after="0"/>
            </w:pPr>
            <w:r/>
            <w:r>
              <w:rPr>
                <w:rFonts w:ascii="Aptos" w:hAnsi="Aptos"/>
                <w:b w:val="0"/>
                <w:sz w:val="18"/>
              </w:rPr>
              <w:t>Ground antenna gain</w:t>
            </w:r>
          </w:p>
        </w:tc>
        <w:tc>
          <w:tcPr>
            <w:tcW w:type="dxa" w:w="3360"/>
            <w:vAlign w:val="center"/>
            <w:shd w:fill="EAF1F8"/>
          </w:tcPr>
          <w:p>
            <w:pPr>
              <w:spacing w:after="0"/>
            </w:pPr>
            <w:r/>
            <w:r>
              <w:rPr>
                <w:rFonts w:ascii="Aptos" w:hAnsi="Aptos"/>
                <w:b w:val="0"/>
                <w:sz w:val="18"/>
              </w:rPr>
              <w:t>46.01 dBi</w:t>
            </w:r>
          </w:p>
        </w:tc>
        <w:tc>
          <w:tcPr>
            <w:tcW w:type="dxa" w:w="3360"/>
            <w:vAlign w:val="center"/>
            <w:shd w:fill="EAF1F8"/>
          </w:tcPr>
          <w:p>
            <w:pPr>
              <w:spacing w:after="0"/>
            </w:pPr>
            <w:r/>
            <w:r>
              <w:rPr>
                <w:rFonts w:ascii="Aptos" w:hAnsi="Aptos"/>
                <w:b w:val="0"/>
                <w:sz w:val="18"/>
              </w:rPr>
              <w:t>Reproduced from D=3.0 m, η=0.60, f=8.2 GHz; retained, conditional on assumptions.</w:t>
            </w:r>
          </w:p>
        </w:tc>
      </w:tr>
      <w:tr>
        <w:tc>
          <w:tcPr>
            <w:tcW w:type="dxa" w:w="3360"/>
            <w:vAlign w:val="center"/>
          </w:tcPr>
          <w:p>
            <w:pPr>
              <w:spacing w:after="0"/>
            </w:pPr>
            <w:r/>
            <w:r>
              <w:rPr>
                <w:rFonts w:ascii="Aptos" w:hAnsi="Aptos"/>
                <w:b w:val="0"/>
                <w:sz w:val="18"/>
              </w:rPr>
              <w:t>FSPL</w:t>
            </w:r>
          </w:p>
        </w:tc>
        <w:tc>
          <w:tcPr>
            <w:tcW w:type="dxa" w:w="3360"/>
            <w:vAlign w:val="center"/>
          </w:tcPr>
          <w:p>
            <w:pPr>
              <w:spacing w:after="0"/>
            </w:pPr>
            <w:r/>
            <w:r>
              <w:rPr>
                <w:rFonts w:ascii="Aptos" w:hAnsi="Aptos"/>
                <w:b w:val="0"/>
                <w:sz w:val="18"/>
              </w:rPr>
              <w:t>174.25 dB</w:t>
            </w:r>
          </w:p>
        </w:tc>
        <w:tc>
          <w:tcPr>
            <w:tcW w:type="dxa" w:w="3360"/>
            <w:vAlign w:val="center"/>
          </w:tcPr>
          <w:p>
            <w:pPr>
              <w:spacing w:after="0"/>
            </w:pPr>
            <w:r/>
            <w:r>
              <w:rPr>
                <w:rFonts w:ascii="Aptos" w:hAnsi="Aptos"/>
                <w:b w:val="0"/>
                <w:sz w:val="18"/>
              </w:rPr>
              <w:t>Matches 8.2 GHz at about 1,500 km; range assumption must be stated explicitly.</w:t>
            </w:r>
          </w:p>
        </w:tc>
      </w:tr>
      <w:tr>
        <w:tc>
          <w:tcPr>
            <w:tcW w:type="dxa" w:w="3360"/>
            <w:vAlign w:val="center"/>
            <w:shd w:fill="EAF1F8"/>
          </w:tcPr>
          <w:p>
            <w:pPr>
              <w:spacing w:after="0"/>
            </w:pPr>
            <w:r/>
            <w:r>
              <w:rPr>
                <w:rFonts w:ascii="Aptos" w:hAnsi="Aptos"/>
                <w:b w:val="0"/>
                <w:sz w:val="18"/>
              </w:rPr>
              <w:t>Received power</w:t>
            </w:r>
          </w:p>
        </w:tc>
        <w:tc>
          <w:tcPr>
            <w:tcW w:type="dxa" w:w="3360"/>
            <w:vAlign w:val="center"/>
            <w:shd w:fill="EAF1F8"/>
          </w:tcPr>
          <w:p>
            <w:pPr>
              <w:spacing w:after="0"/>
            </w:pPr>
            <w:r/>
            <w:r>
              <w:rPr>
                <w:rFonts w:ascii="Aptos" w:hAnsi="Aptos"/>
                <w:b w:val="0"/>
                <w:sz w:val="18"/>
              </w:rPr>
              <w:t>−99.12 dBW</w:t>
            </w:r>
          </w:p>
        </w:tc>
        <w:tc>
          <w:tcPr>
            <w:tcW w:type="dxa" w:w="3360"/>
            <w:vAlign w:val="center"/>
            <w:shd w:fill="EAF1F8"/>
          </w:tcPr>
          <w:p>
            <w:pPr>
              <w:spacing w:after="0"/>
            </w:pPr>
            <w:r/>
            <w:r>
              <w:rPr>
                <w:rFonts w:ascii="Aptos" w:hAnsi="Aptos"/>
                <w:b w:val="0"/>
                <w:sz w:val="18"/>
              </w:rPr>
              <w:t>Reproduced if Pt=5 W and aggregate losses=3.5 dB; mark these inputs as illustrative unless confirmed in Week 2 source.</w:t>
            </w:r>
          </w:p>
        </w:tc>
      </w:tr>
    </w:tbl>
    <w:p>
      <w:pPr>
        <w:spacing w:after="20"/>
      </w:pPr>
    </w:p>
    <w:p>
      <w:r>
        <w:t>Revision log: (1) explicitly state the 1,500 km slant-range assumption associated with the reported FSPL; (2) show the reconstructed 5 W and 3.5 dB assumptions behind the received-power arithmetic; (3) distinguish theoretical calculations from measurements and compliance; (4) identify the missing receiver-noise and performance parameters needed before claiming link closure.</w:t>
      </w:r>
    </w:p>
    <w:p>
      <w:pPr>
        <w:pStyle w:val="Heading1"/>
      </w:pPr>
      <w:r>
        <w:t>7. Conclusion and Week 4 Handoff</w:t>
      </w:r>
    </w:p>
    <w:p>
      <w:r>
        <w:t>The Week 2 antenna gain and approximate beamwidth calculations are reproducible from the documented geometry and efficiency assumptions. The path-loss and received-power figures are also arithmetically consistent when the nominal slant range is approximately 1,500 km, transmitter power is 5 W, and aggregate additional losses are 3.5 dB. The main engineering limitation is not arithmetic but incomplete mission definition: a real link assessment needs orbit geometry, authorized frequency, modulation/coding selection, data rate, receiver noise temperature, performance threshold, and availability/link-margin requirements. Week 4 should consolidate the validated assumptions and calculations, add a complete link-closure assessment if the missing inputs become available, and clearly separate demonstrated calculations from conceptual assumptions.</w:t>
      </w:r>
    </w:p>
    <w:p>
      <w:pPr>
        <w:pStyle w:val="Heading1"/>
      </w:pPr>
      <w:r>
        <w:t>References</w:t>
      </w:r>
    </w:p>
    <w:p>
      <w:pPr>
        <w:pStyle w:val="ListNumber"/>
        <w:spacing w:after="60"/>
      </w:pPr>
      <w:r>
        <w:t>1. ITU-R, Recommendation P.525-5 (11/2024), Calculation of free-space attenuation, in force. https://www.itu.int/rec/R-REC-P.525-5-202411-I/en</w:t>
      </w:r>
    </w:p>
    <w:p>
      <w:pPr>
        <w:pStyle w:val="ListNumber"/>
        <w:spacing w:after="60"/>
      </w:pPr>
      <w:r>
        <w:t>2. CCSDS, CCSDS 401.0-B-32, Radio Frequency and Modulation Systems—Part 1: Earth Stations and Spacecraft, Blue Book, October 2021. https://ccsds.org/Pubs/401x0b32.pdf</w:t>
      </w:r>
    </w:p>
    <w:p>
      <w:pPr>
        <w:pStyle w:val="ListNumber"/>
        <w:spacing w:after="60"/>
      </w:pPr>
      <w:r>
        <w:t>3. CCSDS, CCSDS 131.0-B, TM Synchronization and Channel Coding. Consult the CCSDS Blue Books catalogue for the applicable current issue and mission profile. https://ccsds.org/publications/bluebooks/</w:t>
      </w:r>
    </w:p>
    <w:p>
      <w:pPr>
        <w:pStyle w:val="ListNumber"/>
        <w:spacing w:after="60"/>
      </w:pPr>
      <w:r>
        <w:t>4. CCSDS, Space Link Services Area publications and standards catalogue. https://ccsds.org/publications/sls/</w:t>
      </w:r>
    </w:p>
    <w:p>
      <w:pPr>
        <w:pStyle w:val="Heading1"/>
      </w:pPr>
      <w:r>
        <w:t>Appendix A — Submission Description (200+ words)</w:t>
      </w:r>
    </w:p>
    <w:p>
      <w:r>
        <w:t>This Week 3 Protocol Selection and Validation report continues the notional LEO spacecraft-to-ground telemetry downlink project developed during Weeks 1 and 2. The purpose of this report is to independently check the preliminary antenna and link-budget calculations, explain a candidate standards-based telemetry protocol approach, and identify assumptions and uncertainties that affect the engineering conclusions.</w:t>
        <w:br/>
        <w:br/>
        <w:t>The report considers an illustrative 8.2 GHz carrier, a 0.30 m spacecraft parabolic reflector with an assumed aperture efficiency of 0.55, and a 3.0 m ground reflector with an assumed aperture efficiency of 0.60. These are educational assumptions and are not represented as actual mission specifications or verified antenna measurements. Antenna gain and approximate half-power beamwidth are recalculated from their defining equations. Free-space path loss is independently checked using the standard frequency-and-range relationship consistent with ITU-R Recommendation P.525-5. The received-power result is reconstructed with clearly stated illustrative transmitter-power and additional-loss assumptions so that another reader can reproduce the arithmetic.</w:t>
        <w:br/>
        <w:br/>
        <w:t>The protocol discussion identifies CCSDS RF/modulation recommendations and TM synchronization/channel-coding standards as candidate references for a conventional space telemetry link. The report does not claim a final modulation, coding profile, frequency authorization, or compliance certification because mission requirements have not been supplied. Sensitivity checks explain the effects of range, antenna diameter, aperture efficiency and additional losses. The analysis also identifies missing inputs—including receiver noise temperature, data rate, performance threshold, orbit geometry and required link margin—that must be known before a complete link closure can be demonstrated.</w:t>
        <w:br/>
        <w:br/>
        <w:t>The findings, limitations, and revision log provide a traceable basis for the Week 4 final communications report. All results are analytical estimates based on stated assumptions; no physical testing or electromagnetic simulation is claimed.</w:t>
      </w:r>
    </w:p>
    <w:p>
      <w:pPr>
        <w:pStyle w:val="Heading1"/>
      </w:pPr>
      <w:r>
        <w:t>Appendix B — Reproducibility Checklist</w:t>
      </w:r>
    </w:p>
    <w:p>
      <w:pPr>
        <w:pStyle w:val="ListBullet"/>
        <w:spacing w:after="40"/>
      </w:pPr>
      <w:r>
        <w:t>Confirm that the Week 2 source report uses 8.2 GHz, 0.30 m / 3.0 m antenna diameters, and the listed aperture efficiencies.</w:t>
      </w:r>
    </w:p>
    <w:p>
      <w:pPr>
        <w:pStyle w:val="ListBullet"/>
        <w:spacing w:after="40"/>
      </w:pPr>
      <w:r>
        <w:t>Confirm the actual range used in Week 2; 174.25 dB at 8.2 GHz implies approximately 1,500 km.</w:t>
      </w:r>
    </w:p>
    <w:p>
      <w:pPr>
        <w:pStyle w:val="ListBullet"/>
        <w:spacing w:after="40"/>
      </w:pPr>
      <w:r>
        <w:t>Confirm transmitter power and identify each individual loss behind the aggregate 3.5 dB assumption.</w:t>
      </w:r>
    </w:p>
    <w:p>
      <w:pPr>
        <w:pStyle w:val="ListBullet"/>
        <w:spacing w:after="40"/>
      </w:pPr>
      <w:r>
        <w:t>Before claiming link closure, obtain receiver noise temperature, bandwidth/data rate, modulation and coding profile, required performance threshold, and link margin.</w:t>
      </w:r>
    </w:p>
    <w:p>
      <w:pPr>
        <w:pStyle w:val="ListBullet"/>
        <w:spacing w:after="40"/>
      </w:pPr>
      <w:r>
        <w:t>Review the exact CCSDS issue and mission/agency applicability before claiming standards compliance.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382"/>
        <w:sz w:val="16"/>
      </w:rPr>
      <w:t>Week 3 — Protocol Selection and Validation  |  Educational analytical study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382"/>
        <w:sz w:val="16"/>
      </w:rPr>
      <w:t>YUVAINTERN  |  SPACECRAFT COMMUNICATIONS INTERN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344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528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49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365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