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40"/>
        </w:rPr>
        <w:t>WEEK 1: PLANNING AND LINK BUDGET</w:t>
      </w:r>
    </w:p>
    <w:p>
      <w:pPr>
        <w:jc w:val="center"/>
      </w:pPr>
      <w:r>
        <w:rPr>
          <w:i/>
          <w:color w:val="5A646E"/>
          <w:sz w:val="24"/>
        </w:rPr>
        <w:t>Spacecraft-to-Earth Communications: Preliminary Study Plan</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t>Intern</w:t>
            </w:r>
          </w:p>
        </w:tc>
        <w:tc>
          <w:tcPr>
            <w:tcW w:type="dxa" w:w="4997"/>
            <w:vAlign w:val="center"/>
          </w:tcPr>
          <w:p>
            <w:r>
              <w:t>P. Shankar</w:t>
            </w:r>
          </w:p>
        </w:tc>
      </w:tr>
      <w:tr>
        <w:tc>
          <w:tcPr>
            <w:tcW w:type="dxa" w:w="4997"/>
            <w:vAlign w:val="center"/>
          </w:tcPr>
          <w:p>
            <w:r>
              <w:t>Internship</w:t>
            </w:r>
          </w:p>
        </w:tc>
        <w:tc>
          <w:tcPr>
            <w:tcW w:type="dxa" w:w="4997"/>
            <w:vAlign w:val="center"/>
          </w:tcPr>
          <w:p>
            <w:r>
              <w:t>Spacecraft Communications Intern — YuvaIntern</w:t>
            </w:r>
          </w:p>
        </w:tc>
      </w:tr>
      <w:tr>
        <w:tc>
          <w:tcPr>
            <w:tcW w:type="dxa" w:w="4997"/>
            <w:vAlign w:val="center"/>
          </w:tcPr>
          <w:p>
            <w:r>
              <w:t>Task</w:t>
            </w:r>
          </w:p>
        </w:tc>
        <w:tc>
          <w:tcPr>
            <w:tcW w:type="dxa" w:w="4997"/>
            <w:vAlign w:val="center"/>
          </w:tcPr>
          <w:p>
            <w:r>
              <w:t>Week 1 — Planning and Link Budget</w:t>
            </w:r>
          </w:p>
        </w:tc>
      </w:tr>
      <w:tr>
        <w:tc>
          <w:tcPr>
            <w:tcW w:type="dxa" w:w="4997"/>
            <w:vAlign w:val="center"/>
          </w:tcPr>
          <w:p>
            <w:r>
              <w:t>Document status</w:t>
            </w:r>
          </w:p>
        </w:tc>
        <w:tc>
          <w:tcPr>
            <w:tcW w:type="dxa" w:w="4997"/>
            <w:vAlign w:val="center"/>
          </w:tcPr>
          <w:p>
            <w:r>
              <w:t>Preliminary planning study; numerical values are illustrative assumptions, not measured or mission-approved data.</w:t>
            </w:r>
          </w:p>
        </w:tc>
      </w:tr>
    </w:tbl>
    <w:p/>
    <w:p>
      <w:pPr>
        <w:pStyle w:val="Heading1"/>
      </w:pPr>
      <w:r>
        <w:t>1. Executive Summary</w:t>
      </w:r>
    </w:p>
    <w:p>
      <w:r>
        <w:t>This report defines a repeatable preliminary study for a one-way radio-frequency (RF) downlink from a low-Earth-orbit (LEO) spacecraft to an Earth-based ground station. The project will estimate whether a selected telemetry signal can be received with a positive link margin under a clearly stated set of assumptions. The work is organized around a conventional link-budget chain: transmitter power and antenna gain establish equivalent isotropically radiated power (EIRP); propagation and implementation losses reduce the signal; the receiving antenna and receiver noise characteristics determine received carrier-to-noise and energy-per-bit-to-noise-density (Eb/N0); and the resulting margin is compared with a chosen demodulator requirement when suitable authoritative data are available. This Week 1 document establishes scope, assumptions, methods, tools, references, risks, and a four-week execution plan. No hardware test, antenna measurement, orbital analysis, or operational link is claimed. Values used in later calculations will be labeled as assumed, sourced, or derived.</w:t>
      </w:r>
    </w:p>
    <w:p>
      <w:pPr>
        <w:pStyle w:val="Heading1"/>
      </w:pPr>
      <w:r>
        <w:t>2. Background and Problem Statement</w:t>
      </w:r>
    </w:p>
    <w:p>
      <w:r>
        <w:t>Spacecraft communications transfer telemetry, tracking information, and mission data between a spacecraft and a ground system. A radio link must overcome spreading loss over a long distance while accounting for antenna directionality, receiver noise, polarization and pointing errors, and other implementation losses. A link budget is an engineering accounting method, usually expressed in decibels, that combines gains and losses to estimate the received signal level and available performance margin.</w:t>
      </w:r>
    </w:p>
    <w:p>
      <w:r>
        <w:t>Problem statement: For a notional LEO spacecraft transmitting a low-rate telemetry signal to a ground station, define a transparent calculation method and identify the parameters that control downlink feasibility. The study will produce a preliminary link-budget spreadsheet or Python calculation, a selected antenna concept, sensitivity checks, and a documented validation trail.</w:t>
      </w:r>
    </w:p>
    <w:p>
      <w:pPr>
        <w:pStyle w:val="Heading1"/>
      </w:pPr>
      <w:r>
        <w:t>3. Project Scope, Boundaries, and Deliverables</w:t>
      </w:r>
    </w:p>
    <w:p>
      <w:r>
        <w:t>In scope:</w:t>
      </w:r>
    </w:p>
    <w:p>
      <w:pPr>
        <w:pStyle w:val="ListBullet"/>
      </w:pPr>
      <w:r>
        <w:t>One-way spacecraft-to-ground RF telemetry downlink; uplink, ranging, orbital dynamics, and regulatory coordination are outside the primary calculation.</w:t>
      </w:r>
    </w:p>
    <w:p>
      <w:pPr>
        <w:pStyle w:val="ListBullet"/>
      </w:pPr>
      <w:r>
        <w:t>A notional LEO range and a single candidate RF frequency band, selected for educational analysis and checked against applicable reference material.</w:t>
      </w:r>
    </w:p>
    <w:p>
      <w:pPr>
        <w:pStyle w:val="ListBullet"/>
      </w:pPr>
      <w:r>
        <w:t>First-order free-space path loss, transmitter EIRP, receive antenna gain, receiver system noise temperature or G/T, received carrier power, C/N0, Eb/N0, and link margin where inputs permit.</w:t>
      </w:r>
    </w:p>
    <w:p>
      <w:pPr>
        <w:pStyle w:val="ListBullet"/>
      </w:pPr>
      <w:r>
        <w:t>Antenna concept comparison using gain, beamwidth, size, pointing sensitivity, and practical spacecraft constraints.</w:t>
      </w:r>
    </w:p>
    <w:p>
      <w:pPr>
        <w:pStyle w:val="ListBullet"/>
      </w:pPr>
      <w:r>
        <w:t>Documented assumptions, units, equations, source references, calculation steps, and uncertainty/sensitivity notes.</w:t>
      </w:r>
    </w:p>
    <w:p>
      <w:r>
        <w:t>Out of scope:</w:t>
      </w:r>
    </w:p>
    <w:p>
      <w:pPr>
        <w:pStyle w:val="ListBullet"/>
      </w:pPr>
      <w:r>
        <w:t>Design certification, flight qualification, hardware construction, an actual ground-station booking, or a claim of compliance with a specific mission.</w:t>
      </w:r>
    </w:p>
    <w:p>
      <w:pPr>
        <w:pStyle w:val="ListBullet"/>
      </w:pPr>
      <w:r>
        <w:t>Antenna electromagnetic simulation or measured radiation-pattern data unless an accessible tool and validated model become available.</w:t>
      </w:r>
    </w:p>
    <w:p>
      <w:pPr>
        <w:pStyle w:val="ListBullet"/>
      </w:pPr>
      <w:r>
        <w:t>A guarantee of real-world coverage, link availability, or regulatory authorization.</w:t>
      </w:r>
    </w:p>
    <w:p>
      <w:pPr>
        <w:pStyle w:val="Heading1"/>
      </w:pPr>
      <w:r>
        <w:t>4. System Concept and Link Architecture</w:t>
      </w:r>
    </w:p>
    <w:p>
      <w:r>
        <w:drawing>
          <wp:inline xmlns:a="http://schemas.openxmlformats.org/drawingml/2006/main" xmlns:pic="http://schemas.openxmlformats.org/drawingml/2006/picture">
            <wp:extent cx="6217920" cy="1944867"/>
            <wp:docPr id="1" name="Picture 1"/>
            <wp:cNvGraphicFramePr>
              <a:graphicFrameLocks noChangeAspect="1"/>
            </wp:cNvGraphicFramePr>
            <a:graphic>
              <a:graphicData uri="http://schemas.openxmlformats.org/drawingml/2006/picture">
                <pic:pic>
                  <pic:nvPicPr>
                    <pic:cNvPr id="0" name="spacecraft_link_diagram.png"/>
                    <pic:cNvPicPr/>
                  </pic:nvPicPr>
                  <pic:blipFill>
                    <a:blip r:embed="rId9"/>
                    <a:stretch>
                      <a:fillRect/>
                    </a:stretch>
                  </pic:blipFill>
                  <pic:spPr>
                    <a:xfrm>
                      <a:off x="0" y="0"/>
                      <a:ext cx="6217920" cy="1944867"/>
                    </a:xfrm>
                    <a:prstGeom prst="rect"/>
                  </pic:spPr>
                </pic:pic>
              </a:graphicData>
            </a:graphic>
          </wp:inline>
        </w:drawing>
      </w:r>
    </w:p>
    <w:p>
      <w:pPr>
        <w:jc w:val="center"/>
      </w:pPr>
      <w:r>
        <w:rPr>
          <w:i/>
        </w:rPr>
        <w:t>Figure 1. Conceptual one-way RF downlink and major link-budget blocks (author-created).</w:t>
      </w:r>
    </w:p>
    <w:p>
      <w:r>
        <w:t>The transmitter produces RF power and feeds the spacecraft antenna. Transmit antenna gain and feeder losses determine EIRP. The signal propagates through free space, where received power is reduced by path loss and additional losses. The ground antenna collects part of the arriving energy; receiver noise performance is represented using system noise temperature or G/T. Modulation, coding, data rate, and receiver implementation determine the required Eb/N0 and therefore the link margin.</w:t>
      </w:r>
    </w:p>
    <w:p>
      <w:pPr>
        <w:pStyle w:val="Heading1"/>
      </w:pPr>
      <w:r>
        <w:t>5. Preliminary Assumptions and Constraints</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Parameter</w:t>
            </w:r>
          </w:p>
        </w:tc>
        <w:tc>
          <w:tcPr>
            <w:tcW w:type="dxa" w:w="4997"/>
          </w:tcPr>
          <w:p>
            <w:r>
              <w:t>Planning assumption / constraint</w:t>
            </w:r>
          </w:p>
        </w:tc>
      </w:tr>
      <w:tr>
        <w:tc>
          <w:tcPr>
            <w:tcW w:type="dxa" w:w="4997"/>
            <w:vAlign w:val="center"/>
          </w:tcPr>
          <w:p>
            <w:r>
              <w:t>Mission class</w:t>
            </w:r>
          </w:p>
        </w:tc>
        <w:tc>
          <w:tcPr>
            <w:tcW w:type="dxa" w:w="4997"/>
            <w:vAlign w:val="center"/>
          </w:tcPr>
          <w:p>
            <w:r>
              <w:t>Notional LEO Earth-observation or technology-demonstration spacecraft; not a real mission.</w:t>
            </w:r>
          </w:p>
        </w:tc>
      </w:tr>
      <w:tr>
        <w:tc>
          <w:tcPr>
            <w:tcW w:type="dxa" w:w="4997"/>
            <w:vAlign w:val="center"/>
          </w:tcPr>
          <w:p>
            <w:r>
              <w:t>Link direction</w:t>
            </w:r>
          </w:p>
        </w:tc>
        <w:tc>
          <w:tcPr>
            <w:tcW w:type="dxa" w:w="4997"/>
            <w:vAlign w:val="center"/>
          </w:tcPr>
          <w:p>
            <w:r>
              <w:t>Spacecraft-to-Earth downlink only.</w:t>
            </w:r>
          </w:p>
        </w:tc>
      </w:tr>
      <w:tr>
        <w:tc>
          <w:tcPr>
            <w:tcW w:type="dxa" w:w="4997"/>
            <w:vAlign w:val="center"/>
          </w:tcPr>
          <w:p>
            <w:r>
              <w:t>Propagation model</w:t>
            </w:r>
          </w:p>
        </w:tc>
        <w:tc>
          <w:tcPr>
            <w:tcW w:type="dxa" w:w="4997"/>
            <w:vAlign w:val="center"/>
          </w:tcPr>
          <w:p>
            <w:r>
              <w:t>Free-space path loss for the baseline; atmospheric, rain, polarization, pointing, feeder, and implementation losses are itemized separately when data are available.</w:t>
            </w:r>
          </w:p>
        </w:tc>
      </w:tr>
      <w:tr>
        <w:tc>
          <w:tcPr>
            <w:tcW w:type="dxa" w:w="4997"/>
            <w:vAlign w:val="center"/>
          </w:tcPr>
          <w:p>
            <w:r>
              <w:t>Range</w:t>
            </w:r>
          </w:p>
        </w:tc>
        <w:tc>
          <w:tcPr>
            <w:tcW w:type="dxa" w:w="4997"/>
            <w:vAlign w:val="center"/>
          </w:tcPr>
          <w:p>
            <w:r>
              <w:t>Use a stated representative slant range for the baseline calculation and test a range sweep; do not treat orbital altitude as identical to slant range.</w:t>
            </w:r>
          </w:p>
        </w:tc>
      </w:tr>
      <w:tr>
        <w:tc>
          <w:tcPr>
            <w:tcW w:type="dxa" w:w="4997"/>
            <w:vAlign w:val="center"/>
          </w:tcPr>
          <w:p>
            <w:r>
              <w:t>Frequency</w:t>
            </w:r>
          </w:p>
        </w:tc>
        <w:tc>
          <w:tcPr>
            <w:tcW w:type="dxa" w:w="4997"/>
            <w:vAlign w:val="center"/>
          </w:tcPr>
          <w:p>
            <w:r>
              <w:t>Select one candidate frequency within an appropriate allocated space research/earth exploration service only after checking the applicable allocation and mission context. No frequency authorization is implied.</w:t>
            </w:r>
          </w:p>
        </w:tc>
      </w:tr>
      <w:tr>
        <w:tc>
          <w:tcPr>
            <w:tcW w:type="dxa" w:w="4997"/>
            <w:vAlign w:val="center"/>
          </w:tcPr>
          <w:p>
            <w:r>
              <w:t>Power and antenna parameters</w:t>
            </w:r>
          </w:p>
        </w:tc>
        <w:tc>
          <w:tcPr>
            <w:tcW w:type="dxa" w:w="4997"/>
            <w:vAlign w:val="center"/>
          </w:tcPr>
          <w:p>
            <w:r>
              <w:t>Use clearly marked illustrative values or values from a cited public technical source. Replace assumptions with verified mission inputs if supplied.</w:t>
            </w:r>
          </w:p>
        </w:tc>
      </w:tr>
      <w:tr>
        <w:tc>
          <w:tcPr>
            <w:tcW w:type="dxa" w:w="4997"/>
            <w:vAlign w:val="center"/>
          </w:tcPr>
          <w:p>
            <w:r>
              <w:t>Data rate and modulation</w:t>
            </w:r>
          </w:p>
        </w:tc>
        <w:tc>
          <w:tcPr>
            <w:tcW w:type="dxa" w:w="4997"/>
            <w:vAlign w:val="center"/>
          </w:tcPr>
          <w:p>
            <w:r>
              <w:t>Choose a modest illustrative telemetry rate and a documented modulation/coding assumption; do not claim compliance without checking the applicable standard and receiver threshold.</w:t>
            </w:r>
          </w:p>
        </w:tc>
      </w:tr>
      <w:tr>
        <w:tc>
          <w:tcPr>
            <w:tcW w:type="dxa" w:w="4997"/>
            <w:vAlign w:val="center"/>
          </w:tcPr>
          <w:p>
            <w:r>
              <w:t>Environment</w:t>
            </w:r>
          </w:p>
        </w:tc>
        <w:tc>
          <w:tcPr>
            <w:tcW w:type="dxa" w:w="4997"/>
            <w:vAlign w:val="center"/>
          </w:tcPr>
          <w:p>
            <w:r>
              <w:t>Assume clear-sky free-space baseline initially; identify weather, atmospheric, pointing, and availability effects as limitations.</w:t>
            </w:r>
          </w:p>
        </w:tc>
      </w:tr>
      <w:tr>
        <w:tc>
          <w:tcPr>
            <w:tcW w:type="dxa" w:w="4997"/>
            <w:vAlign w:val="center"/>
          </w:tcPr>
          <w:p>
            <w:r>
              <w:t>Units</w:t>
            </w:r>
          </w:p>
        </w:tc>
        <w:tc>
          <w:tcPr>
            <w:tcW w:type="dxa" w:w="4997"/>
            <w:vAlign w:val="center"/>
          </w:tcPr>
          <w:p>
            <w:r>
              <w:t>Use SI units in calculations and dB/dBW/dBi/dB-Hz consistently. Show conversions and avoid mixing dBm with dBW.</w:t>
            </w:r>
          </w:p>
        </w:tc>
      </w:tr>
    </w:tbl>
    <w:p>
      <w:pPr>
        <w:pStyle w:val="Heading1"/>
      </w:pPr>
      <w:r>
        <w:t>6. Methodology and Core Equations</w:t>
      </w:r>
    </w:p>
    <w:p>
      <w:r>
        <w:t>The following equations define the calculation workflow. Numerical evaluation will be completed and checked in Week 2/3 after selecting and documenting the input set.</w:t>
      </w:r>
    </w:p>
    <w:p>
      <w:pPr>
        <w:pStyle w:val="ListBullet"/>
      </w:pPr>
      <w:r>
        <w:rPr>
          <w:b/>
        </w:rPr>
        <w:t xml:space="preserve">Wavelength: </w:t>
      </w:r>
      <w:r>
        <w:t>λ = c / f</w:t>
      </w:r>
    </w:p>
    <w:p>
      <w:pPr>
        <w:pStyle w:val="ListBullet"/>
      </w:pPr>
      <w:r>
        <w:rPr>
          <w:b/>
        </w:rPr>
        <w:t xml:space="preserve">Free-space path loss (frequency in Hz, distance in m): </w:t>
      </w:r>
      <w:r>
        <w:t>FSPL(dB) = 20 log10(4πR/λ)</w:t>
      </w:r>
    </w:p>
    <w:p>
      <w:pPr>
        <w:pStyle w:val="ListBullet"/>
      </w:pPr>
      <w:r>
        <w:rPr>
          <w:b/>
        </w:rPr>
        <w:t xml:space="preserve">Equivalent isotropically radiated power: </w:t>
      </w:r>
      <w:r>
        <w:t>EIRP(dBW) = Ptx(dBW) + Gtx(dBi) − Ltx(dB)</w:t>
      </w:r>
    </w:p>
    <w:p>
      <w:pPr>
        <w:pStyle w:val="ListBullet"/>
      </w:pPr>
      <w:r>
        <w:rPr>
          <w:b/>
        </w:rPr>
        <w:t xml:space="preserve">Received carrier power: </w:t>
      </w:r>
      <w:r>
        <w:t>Pr(dBW) = EIRP + Gr(dBi) − FSPL − Lprop(dB) − Lrx,feed(dB)</w:t>
      </w:r>
    </w:p>
    <w:p>
      <w:pPr>
        <w:pStyle w:val="ListBullet"/>
      </w:pPr>
      <w:r>
        <w:rPr>
          <w:b/>
        </w:rPr>
        <w:t xml:space="preserve">Carrier-to-noise density: </w:t>
      </w:r>
      <w:r>
        <w:t>C/N0 (dB-Hz) = Pr(dBW) − 10 log10(kTsys) with consistent SI units; equivalently use a documented G/T formulation.</w:t>
      </w:r>
    </w:p>
    <w:p>
      <w:pPr>
        <w:pStyle w:val="ListBullet"/>
      </w:pPr>
      <w:r>
        <w:rPr>
          <w:b/>
        </w:rPr>
        <w:t xml:space="preserve">Energy per bit to noise density: </w:t>
      </w:r>
      <w:r>
        <w:t>Eb/N0 (dB) = C/N0 (dB-Hz) − 10 log10(Rb in bit/s)</w:t>
      </w:r>
    </w:p>
    <w:p>
      <w:pPr>
        <w:pStyle w:val="ListBullet"/>
      </w:pPr>
      <w:r>
        <w:rPr>
          <w:b/>
        </w:rPr>
        <w:t xml:space="preserve">Link margin: </w:t>
      </w:r>
      <w:r>
        <w:t>Margin (dB) = available Eb/N0 − required Eb/N0, where the required value must match the selected modulation, coding, and performance target.</w:t>
      </w:r>
    </w:p>
    <w:p>
      <w:r>
        <w:t>Constants and conventions: speed of light c = 299,792,458 m/s; Boltzmann constant k = 1.380649×10⁻²³ J/K. All losses must be applied once only, and each term must have a source or be labeled as an assumption. The G/T approach and direct system-noise-temperature approach are alternative bookkeeping forms; they must not be combined in a way that double-counts receive antenna gain or noise.</w:t>
      </w:r>
    </w:p>
    <w:p>
      <w:pPr>
        <w:pStyle w:val="Heading1"/>
      </w:pPr>
      <w:r>
        <w:t>7. Standards, References, and Engineering Practices</w:t>
      </w:r>
    </w:p>
    <w:p>
      <w:r>
        <w:t>Standards will be consulted for the relevant layer of the system. Their applicability depends on mission type, frequency allocation, service, and selected physical/data-link implementation. Listing a standard here is a research starting point, not a claim that this educational project is certified or compliant.</w:t>
      </w:r>
    </w:p>
    <w:p>
      <w:pPr>
        <w:pStyle w:val="ListNumber"/>
      </w:pPr>
      <w:r>
        <w:rPr>
          <w:b/>
        </w:rPr>
        <w:t xml:space="preserve">CCSDS, Blue Books — Recommended Standards catalogue. </w:t>
      </w:r>
      <w:r>
        <w:t xml:space="preserve">Official catalogue of CCSDS normative recommendations. Use it to identify current issue numbers and applicable space-link standards. </w:t>
      </w:r>
      <w:r>
        <w:t>https://ccsds.org/publications/bluebooks/</w:t>
      </w:r>
    </w:p>
    <w:p>
      <w:pPr>
        <w:pStyle w:val="ListNumber"/>
      </w:pPr>
      <w:r>
        <w:rPr>
          <w:b/>
        </w:rPr>
        <w:t xml:space="preserve">CCSDS 401.0-B, Radio Frequency and Modulation Systems — Part 1: Earth Stations and Spacecraft. </w:t>
      </w:r>
      <w:r>
        <w:t xml:space="preserve">Reference family for RF and modulation system recommendations for Earth stations and spacecraft; verify the applicable issue and relevant sections before using any parameter. </w:t>
      </w:r>
      <w:r>
        <w:t>https://ccsds.org/publications/bluebooks/</w:t>
      </w:r>
    </w:p>
    <w:p>
      <w:pPr>
        <w:pStyle w:val="ListNumber"/>
      </w:pPr>
      <w:r>
        <w:rPr>
          <w:b/>
        </w:rPr>
        <w:t xml:space="preserve">CCSDS 131.0-B, TM Synchronization and Channel Coding. </w:t>
      </w:r>
      <w:r>
        <w:t xml:space="preserve">Relevant to telemetry synchronization and channel coding; use the current issue listed in the CCSDS catalogue and match the coding choice to the study assumptions. </w:t>
      </w:r>
      <w:r>
        <w:t>https://ccsds.org/publications/bluebooks/</w:t>
      </w:r>
    </w:p>
    <w:p>
      <w:pPr>
        <w:pStyle w:val="ListNumber"/>
      </w:pPr>
      <w:r>
        <w:rPr>
          <w:b/>
        </w:rPr>
        <w:t xml:space="preserve">CCSDS 132.0-B, TM Space Data Link Protocol. </w:t>
      </w:r>
      <w:r>
        <w:t xml:space="preserve">Relevant to telemetry space data-link framing and procedures; consult only if the project defines the data-link layer. </w:t>
      </w:r>
      <w:r>
        <w:t>https://ccsds.org/publications/bluebooks/</w:t>
      </w:r>
    </w:p>
    <w:p>
      <w:pPr>
        <w:pStyle w:val="ListNumber"/>
      </w:pPr>
      <w:r>
        <w:rPr>
          <w:b/>
        </w:rPr>
        <w:t xml:space="preserve">CCSDS 732.1-B, Unified Space Data Link Protocol (USLP). </w:t>
      </w:r>
      <w:r>
        <w:t xml:space="preserve">An alternative space data-link protocol standard for space-to-ground, ground-to-space, or space-to-space links; selection depends on mission architecture. </w:t>
      </w:r>
      <w:r>
        <w:t>https://ccsds.org/Pubs/732x1b3e1.pdf</w:t>
      </w:r>
    </w:p>
    <w:p>
      <w:pPr>
        <w:pStyle w:val="ListNumber"/>
      </w:pPr>
      <w:r>
        <w:rPr>
          <w:b/>
        </w:rPr>
        <w:t xml:space="preserve">CCSDS, Space Link Services Area. </w:t>
      </w:r>
      <w:r>
        <w:t xml:space="preserve">Overview and catalogue of space-link service and protocol publications; useful for locating explanatory Green Books and related standards. </w:t>
      </w:r>
      <w:r>
        <w:t>https://ccsds.org/publications/sls/</w:t>
      </w:r>
    </w:p>
    <w:p>
      <w:pPr>
        <w:pStyle w:val="Heading1"/>
      </w:pPr>
      <w:r>
        <w:t>8. Tools and Why They Will Be Used</w:t>
      </w:r>
    </w:p>
    <w:p>
      <w:pPr>
        <w:pStyle w:val="ListBullet"/>
      </w:pPr>
      <w:r>
        <w:rPr>
          <w:b/>
        </w:rPr>
        <w:t xml:space="preserve">Microsoft Word or LibreOffice Writer: </w:t>
      </w:r>
      <w:r>
        <w:t>Prepare the professional reports, equations, tables, assumptions, and references.</w:t>
      </w:r>
    </w:p>
    <w:p>
      <w:pPr>
        <w:pStyle w:val="ListBullet"/>
      </w:pPr>
      <w:r>
        <w:rPr>
          <w:b/>
        </w:rPr>
        <w:t xml:space="preserve">Python 3 (standard math; optionally NumPy/Matplotlib): </w:t>
      </w:r>
      <w:r>
        <w:t>Make repeatable calculations, range/frequency sensitivity sweeps, and plots; keep inputs and units explicit.</w:t>
      </w:r>
    </w:p>
    <w:p>
      <w:pPr>
        <w:pStyle w:val="ListBullet"/>
      </w:pPr>
      <w:r>
        <w:rPr>
          <w:b/>
        </w:rPr>
        <w:t xml:space="preserve">Spreadsheet (Excel or LibreOffice Calc): </w:t>
      </w:r>
      <w:r>
        <w:t>Provide a transparent, reviewer-friendly tabular link-budget ledger and cross-check Python results.</w:t>
      </w:r>
    </w:p>
    <w:p>
      <w:pPr>
        <w:pStyle w:val="ListBullet"/>
      </w:pPr>
      <w:r>
        <w:rPr>
          <w:b/>
        </w:rPr>
        <w:t xml:space="preserve">Git and GitHub: </w:t>
      </w:r>
      <w:r>
        <w:t>Version-control scripts, report source files, figures, input tables, and a README. The repository URL can be entered in the internship portal as requested.</w:t>
      </w:r>
    </w:p>
    <w:p>
      <w:pPr>
        <w:pStyle w:val="ListBullet"/>
      </w:pPr>
      <w:r>
        <w:rPr>
          <w:b/>
        </w:rPr>
        <w:t xml:space="preserve">CCSDS official publications: </w:t>
      </w:r>
      <w:r>
        <w:t>Check protocol, synchronization, coding, and RF/modulation standards where relevant; record exact document number, issue, and date consulted.</w:t>
      </w:r>
    </w:p>
    <w:p>
      <w:pPr>
        <w:pStyle w:val="Heading1"/>
      </w:pPr>
      <w:r>
        <w:t>9. Risk, Uncertainty, and Validation Plan</w:t>
      </w:r>
    </w:p>
    <w:tbl>
      <w:tblPr>
        <w:tblStyle w:val="LightShading-Accent1"/>
        <w:tblW w:type="auto" w:w="0"/>
        <w:tblLook w:firstColumn="1" w:firstRow="1" w:lastColumn="0" w:lastRow="0" w:noHBand="0" w:noVBand="1" w:val="04A0"/>
      </w:tblPr>
      <w:tblGrid>
        <w:gridCol w:w="4997"/>
        <w:gridCol w:w="4997"/>
      </w:tblGrid>
      <w:tr>
        <w:tc>
          <w:tcPr>
            <w:tcW w:type="dxa" w:w="4997"/>
          </w:tcPr>
          <w:p>
            <w:r>
              <w:t>Risk</w:t>
            </w:r>
          </w:p>
        </w:tc>
        <w:tc>
          <w:tcPr>
            <w:tcW w:type="dxa" w:w="4997"/>
          </w:tcPr>
          <w:p>
            <w:r>
              <w:t>Mitigation / validation action</w:t>
            </w:r>
          </w:p>
        </w:tc>
      </w:tr>
      <w:tr>
        <w:tc>
          <w:tcPr>
            <w:tcW w:type="dxa" w:w="4997"/>
          </w:tcPr>
          <w:p>
            <w:r>
              <w:t>Unverified input values</w:t>
            </w:r>
          </w:p>
        </w:tc>
        <w:tc>
          <w:tcPr>
            <w:tcW w:type="dxa" w:w="4997"/>
          </w:tcPr>
          <w:p>
            <w:r>
              <w:t>Label every input as sourced, assumed, or derived; keep a source/assumption column.</w:t>
            </w:r>
          </w:p>
        </w:tc>
      </w:tr>
      <w:tr>
        <w:tc>
          <w:tcPr>
            <w:tcW w:type="dxa" w:w="4997"/>
          </w:tcPr>
          <w:p>
            <w:r>
              <w:t>Incorrect units or dB arithmetic</w:t>
            </w:r>
          </w:p>
        </w:tc>
        <w:tc>
          <w:tcPr>
            <w:tcW w:type="dxa" w:w="4997"/>
          </w:tcPr>
          <w:p>
            <w:r>
              <w:t>Use a unit checklist and independently reproduce key values in a spreadsheet and Python.</w:t>
            </w:r>
          </w:p>
        </w:tc>
      </w:tr>
      <w:tr>
        <w:tc>
          <w:tcPr>
            <w:tcW w:type="dxa" w:w="4997"/>
          </w:tcPr>
          <w:p>
            <w:r>
              <w:t>Unsuitable required Eb/N0 threshold</w:t>
            </w:r>
          </w:p>
        </w:tc>
        <w:tc>
          <w:tcPr>
            <w:tcW w:type="dxa" w:w="4997"/>
          </w:tcPr>
          <w:p>
            <w:r>
              <w:t>Do not invent a receiver threshold; identify the exact modulation/coding and target BER/PER before calculating margin.</w:t>
            </w:r>
          </w:p>
        </w:tc>
      </w:tr>
      <w:tr>
        <w:tc>
          <w:tcPr>
            <w:tcW w:type="dxa" w:w="4997"/>
          </w:tcPr>
          <w:p>
            <w:r>
              <w:t>Oversimplified propagation</w:t>
            </w:r>
          </w:p>
        </w:tc>
        <w:tc>
          <w:tcPr>
            <w:tcW w:type="dxa" w:w="4997"/>
          </w:tcPr>
          <w:p>
            <w:r>
              <w:t>Start with FSPL and then add justified loss terms; state that clear-sky results do not establish operational availability.</w:t>
            </w:r>
          </w:p>
        </w:tc>
      </w:tr>
      <w:tr>
        <w:tc>
          <w:tcPr>
            <w:tcW w:type="dxa" w:w="4997"/>
          </w:tcPr>
          <w:p>
            <w:r>
              <w:t>Antenna pointing and polarization</w:t>
            </w:r>
          </w:p>
        </w:tc>
        <w:tc>
          <w:tcPr>
            <w:tcW w:type="dxa" w:w="4997"/>
          </w:tcPr>
          <w:p>
            <w:r>
              <w:t>Include pointing/polarization losses only when a defensible model or stated assumption is available; examine sensitivity.</w:t>
            </w:r>
          </w:p>
        </w:tc>
      </w:tr>
      <w:tr>
        <w:tc>
          <w:tcPr>
            <w:tcW w:type="dxa" w:w="4997"/>
          </w:tcPr>
          <w:p>
            <w:r>
              <w:t>Standards version mismatch</w:t>
            </w:r>
          </w:p>
        </w:tc>
        <w:tc>
          <w:tcPr>
            <w:tcW w:type="dxa" w:w="4997"/>
          </w:tcPr>
          <w:p>
            <w:r>
              <w:t>Check the official CCSDS catalogue at the time of use and record the publication issue and corrigenda consulted.</w:t>
            </w:r>
          </w:p>
        </w:tc>
      </w:tr>
    </w:tbl>
    <w:p>
      <w:pPr>
        <w:pStyle w:val="Heading1"/>
      </w:pPr>
      <w:r>
        <w:t>10. Four-Week Execution Plan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Week</w:t>
            </w:r>
          </w:p>
        </w:tc>
        <w:tc>
          <w:tcPr>
            <w:tcW w:type="dxa" w:w="3331"/>
          </w:tcPr>
          <w:p>
            <w:r>
              <w:t>Planned work</w:t>
            </w:r>
          </w:p>
        </w:tc>
        <w:tc>
          <w:tcPr>
            <w:tcW w:type="dxa" w:w="3331"/>
          </w:tcPr>
          <w:p>
            <w:r>
              <w:t>Evidence / deliverable</w:t>
            </w:r>
          </w:p>
        </w:tc>
      </w:tr>
      <w:tr>
        <w:tc>
          <w:tcPr>
            <w:tcW w:type="dxa" w:w="3331"/>
          </w:tcPr>
          <w:p>
            <w:r>
              <w:t>Week 1 — Planning and Link Budget</w:t>
            </w:r>
          </w:p>
        </w:tc>
        <w:tc>
          <w:tcPr>
            <w:tcW w:type="dxa" w:w="3331"/>
          </w:tcPr>
          <w:p>
            <w:r>
              <w:t>Research link-budget practice; freeze the notional scenario and assumptions; identify standards and tools; create the architecture diagram and calculation template; establish the GitHub repository.</w:t>
            </w:r>
          </w:p>
        </w:tc>
        <w:tc>
          <w:tcPr>
            <w:tcW w:type="dxa" w:w="3331"/>
          </w:tcPr>
          <w:p>
            <w:r>
              <w:t>Planning report, assumptions register, architecture diagram, week plan, initial README.</w:t>
            </w:r>
          </w:p>
        </w:tc>
      </w:tr>
      <w:tr>
        <w:tc>
          <w:tcPr>
            <w:tcW w:type="dxa" w:w="3331"/>
          </w:tcPr>
          <w:p>
            <w:r>
              <w:t>Week 2 — Antenna Study</w:t>
            </w:r>
          </w:p>
        </w:tc>
        <w:tc>
          <w:tcPr>
            <w:tcW w:type="dxa" w:w="3331"/>
          </w:tcPr>
          <w:p>
            <w:r>
              <w:t>Select a feasible antenna concept; calculate idealized gain/beamwidth using documented equations and dimensions; implement baseline link-budget calculations; generate tables/plots and retain input/output evidence.</w:t>
            </w:r>
          </w:p>
        </w:tc>
        <w:tc>
          <w:tcPr>
            <w:tcW w:type="dxa" w:w="3331"/>
          </w:tcPr>
          <w:p>
            <w:r>
              <w:t>Antenna study report with equations, calculations, plots, screenshots or reproducible script output.</w:t>
            </w:r>
          </w:p>
        </w:tc>
      </w:tr>
      <w:tr>
        <w:tc>
          <w:tcPr>
            <w:tcW w:type="dxa" w:w="3331"/>
          </w:tcPr>
          <w:p>
            <w:r>
              <w:t>Week 3 — Protocol Selection and Validation</w:t>
            </w:r>
          </w:p>
        </w:tc>
        <w:tc>
          <w:tcPr>
            <w:tcW w:type="dxa" w:w="3331"/>
          </w:tcPr>
          <w:p>
            <w:r>
              <w:t>Select a candidate protocol/modulation/coding approach appropriate to the assumed link; compare calculations against independent calculations and cited standards or published references; sweep range, frequency, data rate, and selected losses; document discrepancies and revisions.</w:t>
            </w:r>
          </w:p>
        </w:tc>
        <w:tc>
          <w:tcPr>
            <w:tcW w:type="dxa" w:w="3331"/>
          </w:tcPr>
          <w:p>
            <w:r>
              <w:t>Validation report, comparison table, uncertainty/sensitivity analysis, updated scripts and change log.</w:t>
            </w:r>
          </w:p>
        </w:tc>
      </w:tr>
      <w:tr>
        <w:tc>
          <w:tcPr>
            <w:tcW w:type="dxa" w:w="3331"/>
          </w:tcPr>
          <w:p>
            <w:r>
              <w:t>Week 4 — Final Communications Report</w:t>
            </w:r>
          </w:p>
        </w:tc>
        <w:tc>
          <w:tcPr>
            <w:tcW w:type="dxa" w:w="3331"/>
          </w:tcPr>
          <w:p>
            <w:r>
              <w:t>Integrate the work; write executive summary, method, results, limitations, conclusions, and recommendations; prepare slides or a recorded walkthrough under ten minutes; check repository and submission package.</w:t>
            </w:r>
          </w:p>
        </w:tc>
        <w:tc>
          <w:tcPr>
            <w:tcW w:type="dxa" w:w="3331"/>
          </w:tcPr>
          <w:p>
            <w:r>
              <w:t>Final report, presentation or walkthrough, organized GitHub repository, final task submission.</w:t>
            </w:r>
          </w:p>
        </w:tc>
      </w:tr>
    </w:tbl>
    <w:p>
      <w:pPr>
        <w:pStyle w:val="Heading1"/>
      </w:pPr>
      <w:r>
        <w:t>11. Week 1 Completion Checklist</w:t>
      </w:r>
    </w:p>
    <w:p>
      <w:pPr>
        <w:pStyle w:val="ListBullet"/>
      </w:pPr>
      <w:r>
        <w:t>Confirm that the selected study remains a notional educational LEO downlink and not an operational mission.</w:t>
      </w:r>
    </w:p>
    <w:p>
      <w:pPr>
        <w:pStyle w:val="ListBullet"/>
      </w:pPr>
      <w:r>
        <w:t>Create the GitHub repository and add a README describing the project and its limitations.</w:t>
      </w:r>
    </w:p>
    <w:p>
      <w:pPr>
        <w:pStyle w:val="ListBullet"/>
      </w:pPr>
      <w:r>
        <w:t>Store this report and the original diagram in the project folder.</w:t>
      </w:r>
    </w:p>
    <w:p>
      <w:pPr>
        <w:pStyle w:val="ListBullet"/>
      </w:pPr>
      <w:r>
        <w:t>In Week 2, record every input with units and source/assumption status before calculating results.</w:t>
      </w:r>
    </w:p>
    <w:p>
      <w:pPr>
        <w:pStyle w:val="ListBullet"/>
      </w:pPr>
      <w:r>
        <w:t>Submit this Word file and a portal description of at least 200 words, as required by the task page.</w:t>
      </w:r>
    </w:p>
    <w:p>
      <w:pPr>
        <w:pStyle w:val="Heading1"/>
      </w:pPr>
      <w:r>
        <w:t>12. References and Source Links</w:t>
      </w:r>
    </w:p>
    <w:p>
      <w:r>
        <w:t>The following official CCSDS pages were consulted as starting points for identifying applicable space communications standards:</w:t>
      </w:r>
    </w:p>
    <w:p>
      <w:pPr>
        <w:pStyle w:val="ListBullet"/>
      </w:pPr>
      <w:r>
        <w:rPr>
          <w:b/>
        </w:rPr>
        <w:t xml:space="preserve">CCSDS Blue Books — Recommended Standards: </w:t>
      </w:r>
      <w:r>
        <w:t>https://ccsds.org/publications/bluebooks/</w:t>
      </w:r>
    </w:p>
    <w:p>
      <w:pPr>
        <w:pStyle w:val="ListBullet"/>
      </w:pPr>
      <w:r>
        <w:rPr>
          <w:b/>
        </w:rPr>
        <w:t xml:space="preserve">CCSDS Space Link Services Area: </w:t>
      </w:r>
      <w:r>
        <w:t>https://ccsds.org/publications/sls/</w:t>
      </w:r>
    </w:p>
    <w:p>
      <w:pPr>
        <w:pStyle w:val="ListBullet"/>
      </w:pPr>
      <w:r>
        <w:rPr>
          <w:b/>
        </w:rPr>
        <w:t xml:space="preserve">CCSDS Unified Space Data Link Protocol, CCSDS 732.1-B-3: </w:t>
      </w:r>
      <w:r>
        <w:t>https://ccsds.org/Pubs/732x1b3e1.pdf</w:t>
      </w:r>
    </w:p>
    <w:p>
      <w:r>
        <w:t>Access date: 29 September 2026. Before final engineering use, confirm the current issue, corrigenda, applicability, and licensing/reproduction conditions directly from the CCSDS publication page.</w:t>
      </w:r>
    </w:p>
    <w:p>
      <w:pPr>
        <w:pStyle w:val="Heading1"/>
      </w:pPr>
      <w:r>
        <w:t>Appendix A — Submission Description (copy into portal)</w:t>
      </w:r>
    </w:p>
    <w:p>
      <w:r>
        <w:t>This Week 1 planning report establishes the scope and method for a preliminary spacecraft-to-Earth communications link-budget study. The project considers a notional low-Earth-orbit spacecraft transmitting telemetry to an Earth-based ground station. It explains the purpose of a link budget and identifies the principal system blocks: spacecraft RF transmitter, transmit antenna, propagation path, receiving antenna, and ground receiver. The report defines the proposed project boundaries, including a one-way RF downlink, a first-order free-space propagation model, and the planned calculation of EIRP, free-space path loss, received carrier power, carrier-to-noise density, energy-per-bit-to-noise-density ratio, and link margin where the required inputs are available. It also records the assumptions and constraints that must be made explicit before numerical work begins. All illustrative values used in subsequent stages will be identified as assumptions, cited source values, or derived results; no hardware measurements or mission-approved parameters are claimed. The report identifies official CCSDS publications as starting references for researching RF and modulation systems, telemetry synchronization and coding, and space data-link protocols. It lists Word or LibreOffice, Python, a spreadsheet, Git, and GitHub as the proposed tools and explains how they support repeatable calculations, cross-checking, documentation, and version control. Finally, the report provides a four-week execution plan covering initial research and planning, antenna calculations, protocol selection and validation, and the final communications report with a short presentation. Risk controls address unit consistency, uncertain inputs, standards-version checks, receiver-threshold selection, and propagation limitations. This document is a preliminary educational plan and is not a certified spacecraft design, operational link analysis, or proof of regulatory compliance.</w:t>
      </w:r>
    </w:p>
    <w:sectPr w:rsidR="00FC693F" w:rsidRPr="0006063C" w:rsidSect="00034616">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Preliminary educational study • Verify assumptions and standards before technical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4C7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4B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2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