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95E"/>
          <w:sz w:val="48"/>
        </w:rPr>
        <w:t>FINAL COMMUNICATIONS REPORT</w:t>
      </w:r>
    </w:p>
    <w:p>
      <w:pPr>
        <w:jc w:val="center"/>
      </w:pPr>
      <w:r>
        <w:rPr>
          <w:b/>
          <w:sz w:val="30"/>
        </w:rPr>
        <w:t>LEO Spacecraft-to-Ground Telemetry Downlink</w:t>
        <w:br/>
        <w:t>Antenna, Link Budget and Protocol Study</w:t>
      </w:r>
    </w:p>
    <w:p>
      <w:pPr>
        <w:jc w:val="center"/>
      </w:pPr>
      <w:r>
        <w:rPr>
          <w:b/>
        </w:rPr>
        <w:t>Spacecraft Communications Internship — YuvaIntern</w:t>
        <w:br/>
      </w:r>
      <w:r>
        <w:t>Intern: P. Shankar | Internship period: 04 Sep 2026 – 02 Oct 2026</w:t>
      </w:r>
    </w:p>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Project</w:t>
            </w:r>
          </w:p>
        </w:tc>
        <w:tc>
          <w:tcPr>
            <w:tcW w:type="dxa" w:w="5040"/>
          </w:tcPr>
          <w:p>
            <w:r>
              <w:t>Notional LEO spacecraft-to-ground telemetry downlink</w:t>
            </w:r>
          </w:p>
        </w:tc>
      </w:tr>
      <w:tr>
        <w:tc>
          <w:tcPr>
            <w:tcW w:type="dxa" w:w="5040"/>
          </w:tcPr>
          <w:p>
            <w:r>
              <w:rPr>
                <w:b/>
              </w:rPr>
              <w:t>Report status</w:t>
            </w:r>
          </w:p>
        </w:tc>
        <w:tc>
          <w:tcPr>
            <w:tcW w:type="dxa" w:w="5040"/>
          </w:tcPr>
          <w:p>
            <w:r>
              <w:t>Educational analytical study; illustrative assumptions</w:t>
            </w:r>
          </w:p>
        </w:tc>
      </w:tr>
      <w:tr>
        <w:tc>
          <w:tcPr>
            <w:tcW w:type="dxa" w:w="5040"/>
          </w:tcPr>
          <w:p>
            <w:r>
              <w:rPr>
                <w:b/>
              </w:rPr>
              <w:t>Work covered</w:t>
            </w:r>
          </w:p>
        </w:tc>
        <w:tc>
          <w:tcPr>
            <w:tcW w:type="dxa" w:w="5040"/>
          </w:tcPr>
          <w:p>
            <w:r>
              <w:t>Week 1 planning, Week 2 antenna study, Week 3 validation, Week 4 synthesis</w:t>
            </w:r>
          </w:p>
        </w:tc>
      </w:tr>
      <w:tr>
        <w:tc>
          <w:tcPr>
            <w:tcW w:type="dxa" w:w="5040"/>
          </w:tcPr>
          <w:p>
            <w:r>
              <w:rPr>
                <w:b/>
              </w:rPr>
              <w:t>Important limitation</w:t>
            </w:r>
          </w:p>
        </w:tc>
        <w:tc>
          <w:tcPr>
            <w:tcW w:type="dxa" w:w="5040"/>
          </w:tcPr>
          <w:p>
            <w:r>
              <w:t>No hardware tests, mission-approved specifications, or electromagnetic simulation are claimed.</w:t>
            </w:r>
          </w:p>
        </w:tc>
      </w:tr>
    </w:tbl>
    <w:p>
      <w:pPr>
        <w:pStyle w:val="Heading1"/>
      </w:pPr>
      <w:r>
        <w:t>Executive Summary</w:t>
      </w:r>
    </w:p>
    <w:p>
      <w:r>
        <w:t>This report consolidates a four-week educational study of a notional low-Earth-orbit (LEO) spacecraft telemetry downlink to a ground station. The work follows a systems-engineering sequence: define a bounded problem and assumptions; estimate antenna and free-space link parameters; identify a standards-based protocol approach and examine uncertainty; then communicate findings, limitations, and next steps. The illustrative case uses a 8.2 GHz carrier, a 5 W spacecraft RF output, a 3.0 m ground reflector with 60% aperture efficiency, a 0.30 m spacecraft antenna with 55% efficiency, a 1,500 km slant range, and 3.5 dB of combined additional losses. These are study assumptions, not verified YuvaIntern mission parameters.</w:t>
      </w:r>
    </w:p>
    <w:p>
      <w:r>
        <w:t>Using the Friis/free-space formulation, the estimated wavelength is 0.03656 m and free-space path loss at 1,500 km is approximately 174.25 dB. The idealized antenna-gain estimates are about 8.0 dBi for the spacecraft antenna and 46.01 dBi for the ground antenna. The corresponding illustrative received carrier power is approximately −69.12 dBm before accounting for receiver-system noise and implementation details. This number alone does not establish link closure: receiver noise temperature, bandwidth, data rate, modulation, coding, pointing losses, polarization, and required Eb/N0 or C/N0 are needed to calculate margin.</w:t>
      </w:r>
    </w:p>
    <w:p>
      <w:r>
        <w:t>CCSDS recommendations provide a framework for telemetry framing, synchronization, channel coding, and RF-related interfaces; ITU-R P.525 provides the free-space attenuation method. The report recommends treating the calculations as a preliminary engineering baseline, verifying all inputs against an approved mission specification, and completing a full link budget and design review before any operational decision. The work is analytical and educational; no physical antenna measurements, RF testing, or EM simulation are represented.</w:t>
      </w:r>
    </w:p>
    <w:p>
      <w:pPr>
        <w:pStyle w:val="Heading1"/>
      </w:pPr>
      <w:r>
        <w:t>1. Problem Statement and Scope</w:t>
      </w:r>
    </w:p>
    <w:p>
      <w:r>
        <w:t>Problem: develop a repeatable preliminary method to estimate whether a notional LEO spacecraft can transmit telemetry to a ground station and identify the information required for a defensible link-closure decision.</w:t>
      </w:r>
    </w:p>
    <w:p>
      <w:r>
        <w:t>In scope:</w:t>
      </w:r>
    </w:p>
    <w:p>
      <w:pPr>
        <w:pStyle w:val="ListBullet"/>
      </w:pPr>
      <w:r>
        <w:t>Define a representative downlink scenario and document assumptions.</w:t>
      </w:r>
    </w:p>
    <w:p>
      <w:pPr>
        <w:pStyle w:val="ListBullet"/>
      </w:pPr>
      <w:r>
        <w:t>Calculate wavelength, idealized antenna gains, free-space path loss, and a preliminary received-power estimate.</w:t>
      </w:r>
    </w:p>
    <w:p>
      <w:pPr>
        <w:pStyle w:val="ListBullet"/>
      </w:pPr>
      <w:r>
        <w:t>Identify relevant protocol and standards families for a telemetry chain.</w:t>
      </w:r>
    </w:p>
    <w:p>
      <w:pPr>
        <w:pStyle w:val="ListBullet"/>
      </w:pPr>
      <w:r>
        <w:t>Discuss uncertainty, limitations, and a verification plan.</w:t>
      </w:r>
    </w:p>
    <w:p>
      <w:r>
        <w:t>Out of scope:</w:t>
      </w:r>
    </w:p>
    <w:p>
      <w:pPr>
        <w:pStyle w:val="ListBullet"/>
      </w:pPr>
      <w:r>
        <w:t>Mission-specific design approval, operational frequency coordination, or regulatory authorization.</w:t>
      </w:r>
    </w:p>
    <w:p>
      <w:pPr>
        <w:pStyle w:val="ListBullet"/>
      </w:pPr>
      <w:r>
        <w:t>Hardware measurements, antenna chamber testing, live spacecraft contacts, or validated EM simulation.</w:t>
      </w:r>
    </w:p>
    <w:p>
      <w:pPr>
        <w:pStyle w:val="ListBullet"/>
      </w:pPr>
      <w:r>
        <w:t>Final data-rate selection or link-margin certification without receiver and waveform specifications.</w:t>
      </w:r>
    </w:p>
    <w:p>
      <w:pPr>
        <w:pStyle w:val="Heading1"/>
      </w:pPr>
      <w:r>
        <w:t>2. System Overview</w:t>
      </w:r>
    </w:p>
    <w:p>
      <w:r>
        <w:t>The notional signal path is shown below. The spacecraft encodes and modulates telemetry, transmits through its antenna, and the ground station receives, demodulates, decodes, and delivers telemetry to mission systems.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CE6F1"/>
          </w:tcPr>
          <w:p>
            <w:pPr>
              <w:jc w:val="center"/>
            </w:pPr>
            <w:r>
              <w:t>Telemetry source</w:t>
              <w:br/>
              <w:t>&amp; framing</w:t>
            </w:r>
          </w:p>
        </w:tc>
        <w:tc>
          <w:tcPr>
            <w:tcW w:type="dxa" w:w="2016"/>
            <w:vAlign w:val="center"/>
            <w:shd w:fill="FCE4D6"/>
          </w:tcPr>
          <w:p>
            <w:pPr>
              <w:jc w:val="center"/>
            </w:pPr>
            <w:r>
              <w:t>Channel coding</w:t>
              <w:br/>
              <w:t>&amp; modulation</w:t>
            </w:r>
          </w:p>
        </w:tc>
        <w:tc>
          <w:tcPr>
            <w:tcW w:type="dxa" w:w="2016"/>
            <w:vAlign w:val="center"/>
            <w:shd w:fill="DCE6F1"/>
          </w:tcPr>
          <w:p>
            <w:pPr>
              <w:jc w:val="center"/>
            </w:pPr>
            <w:r>
              <w:t>Spacecraft RF</w:t>
              <w:br/>
              <w:t>&amp; antenna</w:t>
            </w:r>
          </w:p>
        </w:tc>
        <w:tc>
          <w:tcPr>
            <w:tcW w:type="dxa" w:w="2016"/>
            <w:vAlign w:val="center"/>
            <w:shd w:fill="FCE4D6"/>
          </w:tcPr>
          <w:p>
            <w:pPr>
              <w:jc w:val="center"/>
            </w:pPr>
            <w:r>
              <w:t>Free-space</w:t>
              <w:br/>
              <w:t>propagation</w:t>
            </w:r>
          </w:p>
        </w:tc>
        <w:tc>
          <w:tcPr>
            <w:tcW w:type="dxa" w:w="2016"/>
            <w:vAlign w:val="center"/>
            <w:shd w:fill="DCE6F1"/>
          </w:tcPr>
          <w:p>
            <w:pPr>
              <w:jc w:val="center"/>
            </w:pPr>
            <w:r>
              <w:t>Ground antenna</w:t>
              <w:br/>
              <w:t>&amp; receiver</w:t>
            </w:r>
          </w:p>
        </w:tc>
      </w:tr>
    </w:tbl>
    <w:p>
      <w:r>
        <w:t>Flow: telemetry generation → framing/coding → modulation and RF amplification → spacecraft antenna → propagation channel → ground antenna/LNA/receiver → demodulation/decoding → telemetry processing.</w:t>
      </w:r>
    </w:p>
    <w:p>
      <w:pPr>
        <w:pStyle w:val="Heading1"/>
      </w:pPr>
      <w:r>
        <w:t>3. Assumptions and Input Register</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Study value</w:t>
            </w:r>
          </w:p>
        </w:tc>
        <w:tc>
          <w:tcPr>
            <w:tcW w:type="dxa" w:w="3360"/>
          </w:tcPr>
          <w:p>
            <w:r>
              <w:t>Basis / caveat</w:t>
            </w:r>
          </w:p>
        </w:tc>
      </w:tr>
      <w:tr>
        <w:tc>
          <w:tcPr>
            <w:tcW w:type="dxa" w:w="3360"/>
          </w:tcPr>
          <w:p>
            <w:r>
              <w:t>Carrier frequency, f</w:t>
            </w:r>
          </w:p>
        </w:tc>
        <w:tc>
          <w:tcPr>
            <w:tcW w:type="dxa" w:w="3360"/>
          </w:tcPr>
          <w:p>
            <w:r>
              <w:t>8.2 GHz</w:t>
            </w:r>
          </w:p>
        </w:tc>
        <w:tc>
          <w:tcPr>
            <w:tcW w:type="dxa" w:w="3360"/>
          </w:tcPr>
          <w:p>
            <w:r>
              <w:t>Illustrative S-band-like study frequency; actual allocation must be mission-approved.</w:t>
            </w:r>
          </w:p>
        </w:tc>
      </w:tr>
      <w:tr>
        <w:tc>
          <w:tcPr>
            <w:tcW w:type="dxa" w:w="3360"/>
          </w:tcPr>
          <w:p>
            <w:r>
              <w:t>RF transmit power, Pt</w:t>
            </w:r>
          </w:p>
        </w:tc>
        <w:tc>
          <w:tcPr>
            <w:tcW w:type="dxa" w:w="3360"/>
          </w:tcPr>
          <w:p>
            <w:r>
              <w:t>5 W = 6.99 dBW</w:t>
            </w:r>
          </w:p>
        </w:tc>
        <w:tc>
          <w:tcPr>
            <w:tcW w:type="dxa" w:w="3360"/>
          </w:tcPr>
          <w:p>
            <w:r>
              <w:t>Assumed conducted RF power at the transmitter output; feeder losses treated separately in aggregate losses.</w:t>
            </w:r>
          </w:p>
        </w:tc>
      </w:tr>
      <w:tr>
        <w:tc>
          <w:tcPr>
            <w:tcW w:type="dxa" w:w="3360"/>
          </w:tcPr>
          <w:p>
            <w:r>
              <w:t>Spacecraft antenna diameter, Ds</w:t>
            </w:r>
          </w:p>
        </w:tc>
        <w:tc>
          <w:tcPr>
            <w:tcW w:type="dxa" w:w="3360"/>
          </w:tcPr>
          <w:p>
            <w:r>
              <w:t>0.30 m</w:t>
            </w:r>
          </w:p>
        </w:tc>
        <w:tc>
          <w:tcPr>
            <w:tcW w:type="dxa" w:w="3360"/>
          </w:tcPr>
          <w:p>
            <w:r>
              <w:t>Idealized circular aperture approximation.</w:t>
            </w:r>
          </w:p>
        </w:tc>
      </w:tr>
      <w:tr>
        <w:tc>
          <w:tcPr>
            <w:tcW w:type="dxa" w:w="3360"/>
          </w:tcPr>
          <w:p>
            <w:r>
              <w:t>Spacecraft aperture efficiency, ηs</w:t>
            </w:r>
          </w:p>
        </w:tc>
        <w:tc>
          <w:tcPr>
            <w:tcW w:type="dxa" w:w="3360"/>
          </w:tcPr>
          <w:p>
            <w:r>
              <w:t>0.55</w:t>
            </w:r>
          </w:p>
        </w:tc>
        <w:tc>
          <w:tcPr>
            <w:tcW w:type="dxa" w:w="3360"/>
          </w:tcPr>
          <w:p>
            <w:r>
              <w:t>Assumed; real efficiency depends on antenna type and design.</w:t>
            </w:r>
          </w:p>
        </w:tc>
      </w:tr>
      <w:tr>
        <w:tc>
          <w:tcPr>
            <w:tcW w:type="dxa" w:w="3360"/>
          </w:tcPr>
          <w:p>
            <w:r>
              <w:t>Ground antenna diameter, Dg</w:t>
            </w:r>
          </w:p>
        </w:tc>
        <w:tc>
          <w:tcPr>
            <w:tcW w:type="dxa" w:w="3360"/>
          </w:tcPr>
          <w:p>
            <w:r>
              <w:t>3.00 m</w:t>
            </w:r>
          </w:p>
        </w:tc>
        <w:tc>
          <w:tcPr>
            <w:tcW w:type="dxa" w:w="3360"/>
          </w:tcPr>
          <w:p>
            <w:r>
              <w:t>Illustrative parabolic reflector.</w:t>
            </w:r>
          </w:p>
        </w:tc>
      </w:tr>
      <w:tr>
        <w:tc>
          <w:tcPr>
            <w:tcW w:type="dxa" w:w="3360"/>
          </w:tcPr>
          <w:p>
            <w:r>
              <w:t>Ground aperture efficiency, ηg</w:t>
            </w:r>
          </w:p>
        </w:tc>
        <w:tc>
          <w:tcPr>
            <w:tcW w:type="dxa" w:w="3360"/>
          </w:tcPr>
          <w:p>
            <w:r>
              <w:t>0.60</w:t>
            </w:r>
          </w:p>
        </w:tc>
        <w:tc>
          <w:tcPr>
            <w:tcW w:type="dxa" w:w="3360"/>
          </w:tcPr>
          <w:p>
            <w:r>
              <w:t>Assumed representative value.</w:t>
            </w:r>
          </w:p>
        </w:tc>
      </w:tr>
      <w:tr>
        <w:tc>
          <w:tcPr>
            <w:tcW w:type="dxa" w:w="3360"/>
          </w:tcPr>
          <w:p>
            <w:r>
              <w:t>Slant range, R</w:t>
            </w:r>
          </w:p>
        </w:tc>
        <w:tc>
          <w:tcPr>
            <w:tcW w:type="dxa" w:w="3360"/>
          </w:tcPr>
          <w:p>
            <w:r>
              <w:t>1,500 km</w:t>
            </w:r>
          </w:p>
        </w:tc>
        <w:tc>
          <w:tcPr>
            <w:tcW w:type="dxa" w:w="3360"/>
          </w:tcPr>
          <w:p>
            <w:r>
              <w:t>Single illustrative geometry; range varies during a pass.</w:t>
            </w:r>
          </w:p>
        </w:tc>
      </w:tr>
      <w:tr>
        <w:tc>
          <w:tcPr>
            <w:tcW w:type="dxa" w:w="3360"/>
          </w:tcPr>
          <w:p>
            <w:r>
              <w:t>Combined additional losses</w:t>
            </w:r>
          </w:p>
        </w:tc>
        <w:tc>
          <w:tcPr>
            <w:tcW w:type="dxa" w:w="3360"/>
          </w:tcPr>
          <w:p>
            <w:r>
              <w:t>3.5 dB</w:t>
            </w:r>
          </w:p>
        </w:tc>
        <w:tc>
          <w:tcPr>
            <w:tcW w:type="dxa" w:w="3360"/>
          </w:tcPr>
          <w:p>
            <w:r>
              <w:t>Lumped allowance; not a measured or mission-verified value.</w:t>
            </w:r>
          </w:p>
        </w:tc>
      </w:tr>
      <w:tr>
        <w:tc>
          <w:tcPr>
            <w:tcW w:type="dxa" w:w="3360"/>
          </w:tcPr>
          <w:p>
            <w:r>
              <w:t>Polarization / pointing</w:t>
            </w:r>
          </w:p>
        </w:tc>
        <w:tc>
          <w:tcPr>
            <w:tcW w:type="dxa" w:w="3360"/>
          </w:tcPr>
          <w:p>
            <w:r>
              <w:t>Included only if covered by aggregate losses</w:t>
            </w:r>
          </w:p>
        </w:tc>
        <w:tc>
          <w:tcPr>
            <w:tcW w:type="dxa" w:w="3360"/>
          </w:tcPr>
          <w:p>
            <w:r>
              <w:t>Requires separate budgets for a real design.</w:t>
            </w:r>
          </w:p>
        </w:tc>
      </w:tr>
    </w:tbl>
    <w:p>
      <w:pPr>
        <w:pStyle w:val="Heading1"/>
      </w:pPr>
      <w:r>
        <w:t>4. Method and Calculations</w:t>
      </w:r>
    </w:p>
    <w:p>
      <w:pPr>
        <w:pStyle w:val="Heading2"/>
      </w:pPr>
      <w:r>
        <w:t>4.1 Wavelength</w:t>
      </w:r>
    </w:p>
    <w:p>
      <w:r>
        <w:t>λ = c / f, where c = 299,792,458 m/s and f = 8.2 × 10⁹ Hz.</w:t>
      </w:r>
    </w:p>
    <w:p>
      <w:r>
        <w:t>λ = 299,792,458 / 8,200,000,000 = 0.03656 m (approximately 3.656 cm).</w:t>
      </w:r>
    </w:p>
    <w:p>
      <w:pPr>
        <w:pStyle w:val="Heading2"/>
      </w:pPr>
      <w:r>
        <w:t>4.2 Idealized antenna gain</w:t>
      </w:r>
    </w:p>
    <w:p>
      <w:r>
        <w:t>For a circular aperture, G = η(πD/λ)², and GdBi = 10 log₁₀(G). This approximation is appropriate for a preliminary reflector/aperture estimate, not for a detailed antenna pattern.</w:t>
      </w:r>
    </w:p>
    <w:p>
      <w:r>
        <w:t>Spacecraft antenna: Gs = 0.55 × (π × 0.20 / 0.1363)² = 365.9 (linear); Gs ≈ 25.63 dBi.</w:t>
      </w:r>
    </w:p>
    <w:p>
      <w:r>
        <w:t>Ground antenna: Gg = 0.60 × (π × 1.00 / 0.1363)² = 39,900 (linear); Gg ≈ 46.01 dBi.</w:t>
      </w:r>
    </w:p>
    <w:p>
      <w:pPr>
        <w:pStyle w:val="Heading2"/>
      </w:pPr>
      <w:r>
        <w:t>4.3 Free-space path loss</w:t>
      </w:r>
    </w:p>
    <w:p>
      <w:r>
        <w:t>FSPL(dB) = 20 log₁₀(4πR/λ). With R = 1.5 × 10⁶ m and λ = 0.03656 m:</w:t>
      </w:r>
    </w:p>
    <w:p>
      <w:r>
        <w:t>FSPL = 20 log₁₀(4π × 1.5 × 10⁶ / 0.1363) ≈ 174.25 dB.</w:t>
      </w:r>
    </w:p>
    <w:p>
      <w:pPr>
        <w:pStyle w:val="Heading2"/>
      </w:pPr>
      <w:r>
        <w:t>4.4 Preliminary received power</w:t>
      </w:r>
    </w:p>
    <w:p>
      <w:r>
        <w:t>Pr(dBW) = Pt(dBW) + Gs(dBi) + Gg(dBi) − FSPL(dB) − Ladditional(dB).</w:t>
      </w:r>
    </w:p>
    <w:p>
      <w:r>
        <w:t>Pt = 10 log₁₀(5 W) = 6.99 dBW.</w:t>
      </w:r>
    </w:p>
    <w:p>
      <w:r>
        <w:t>Pr ≈ 6.99 + 10.66 + 25.04 − 162.8 − 3.5 = −99.12 dBW = −69.12 dBm.</w:t>
      </w:r>
    </w:p>
    <w:p>
      <w:r>
        <w:t>This is a received-power estimate, not a link-closure result. The earlier Week 3 report's illustrative received-power number should be checked against the exact input values and arithmetic above; this consolidated report uses the recalculated value shown here.</w:t>
      </w:r>
    </w:p>
    <w:p>
      <w:pPr>
        <w:pStyle w:val="Heading1"/>
      </w:pPr>
      <w:r>
        <w:t>5. Protocol and Standards Approach</w:t>
      </w:r>
    </w:p>
    <w:p>
      <w:r>
        <w:t>Protocol selection is layered. The RF carrier, modulation, symbol rate, occupied bandwidth, and link coding must be selected together and checked against the mission frequency authorization and equipment capabilities. At the data-link layer, CCSDS telemetry recommendations are a suitable standards family to consult for transfer-frame structure, synchronization, and channel coding. The exact CCSDS recommendation and issue/revision must be selected by the project after requirements are known; this report does not claim a finalized waveform or standards compliance.</w:t>
      </w:r>
    </w:p>
    <w:p>
      <w:pPr>
        <w:pStyle w:val="ListBullet"/>
      </w:pPr>
      <w:r>
        <w:t>CCSDS 401-series: radio-frequency and modulation-related recommendations; confirm the applicable volume and current revision for the mission.</w:t>
      </w:r>
    </w:p>
    <w:p>
      <w:pPr>
        <w:pStyle w:val="ListBullet"/>
      </w:pPr>
      <w:r>
        <w:t>CCSDS 131-series: telemetry channel coding; select coding options based on required performance, complexity, and receiver implementation.</w:t>
      </w:r>
    </w:p>
    <w:p>
      <w:pPr>
        <w:pStyle w:val="ListBullet"/>
      </w:pPr>
      <w:r>
        <w:t>CCSDS 132-series: TM Space Data Link Protocol framing; verify service and frame configuration against mission needs.</w:t>
      </w:r>
    </w:p>
    <w:p>
      <w:pPr>
        <w:pStyle w:val="ListBullet"/>
      </w:pPr>
      <w:r>
        <w:t>ITU-R Recommendation P.525: calculation of attenuation in free space; used for the FSPL method.</w:t>
      </w:r>
    </w:p>
    <w:p>
      <w:pPr>
        <w:pStyle w:val="Heading1"/>
      </w:pPr>
      <w:r>
        <w:t>6. Results Summary</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Result</w:t>
            </w:r>
          </w:p>
        </w:tc>
        <w:tc>
          <w:tcPr>
            <w:tcW w:type="dxa" w:w="3360"/>
          </w:tcPr>
          <w:p>
            <w:r>
              <w:t>Interpretation</w:t>
            </w:r>
          </w:p>
        </w:tc>
      </w:tr>
      <w:tr>
        <w:tc>
          <w:tcPr>
            <w:tcW w:type="dxa" w:w="3360"/>
          </w:tcPr>
          <w:p>
            <w:r>
              <w:t>Wavelength</w:t>
            </w:r>
          </w:p>
        </w:tc>
        <w:tc>
          <w:tcPr>
            <w:tcW w:type="dxa" w:w="3360"/>
          </w:tcPr>
          <w:p>
            <w:r>
              <w:t>0.03656 m</w:t>
            </w:r>
          </w:p>
        </w:tc>
        <w:tc>
          <w:tcPr>
            <w:tcW w:type="dxa" w:w="3360"/>
          </w:tcPr>
          <w:p>
            <w:r>
              <w:t>Derived from 8.2 GHz</w:t>
            </w:r>
          </w:p>
        </w:tc>
      </w:tr>
      <w:tr>
        <w:tc>
          <w:tcPr>
            <w:tcW w:type="dxa" w:w="3360"/>
          </w:tcPr>
          <w:p>
            <w:r>
              <w:t>Spacecraft antenna gain</w:t>
            </w:r>
          </w:p>
        </w:tc>
        <w:tc>
          <w:tcPr>
            <w:tcW w:type="dxa" w:w="3360"/>
          </w:tcPr>
          <w:p>
            <w:r>
              <w:t>25.63 dBi</w:t>
            </w:r>
          </w:p>
        </w:tc>
        <w:tc>
          <w:tcPr>
            <w:tcW w:type="dxa" w:w="3360"/>
          </w:tcPr>
          <w:p>
            <w:r>
              <w:t>Circular aperture approximation</w:t>
            </w:r>
          </w:p>
        </w:tc>
      </w:tr>
      <w:tr>
        <w:tc>
          <w:tcPr>
            <w:tcW w:type="dxa" w:w="3360"/>
          </w:tcPr>
          <w:p>
            <w:r>
              <w:t>Ground antenna gain</w:t>
            </w:r>
          </w:p>
        </w:tc>
        <w:tc>
          <w:tcPr>
            <w:tcW w:type="dxa" w:w="3360"/>
          </w:tcPr>
          <w:p>
            <w:r>
              <w:t>46.01 dBi</w:t>
            </w:r>
          </w:p>
        </w:tc>
        <w:tc>
          <w:tcPr>
            <w:tcW w:type="dxa" w:w="3360"/>
          </w:tcPr>
          <w:p>
            <w:r>
              <w:t>Circular aperture approximation</w:t>
            </w:r>
          </w:p>
        </w:tc>
      </w:tr>
      <w:tr>
        <w:tc>
          <w:tcPr>
            <w:tcW w:type="dxa" w:w="3360"/>
          </w:tcPr>
          <w:p>
            <w:r>
              <w:t>Free-space path loss</w:t>
            </w:r>
          </w:p>
        </w:tc>
        <w:tc>
          <w:tcPr>
            <w:tcW w:type="dxa" w:w="3360"/>
          </w:tcPr>
          <w:p>
            <w:r>
              <w:t>174.25 dB</w:t>
            </w:r>
          </w:p>
        </w:tc>
        <w:tc>
          <w:tcPr>
            <w:tcW w:type="dxa" w:w="3360"/>
          </w:tcPr>
          <w:p>
            <w:r>
              <w:t>At 1,500 km slant range</w:t>
            </w:r>
          </w:p>
        </w:tc>
      </w:tr>
      <w:tr>
        <w:tc>
          <w:tcPr>
            <w:tcW w:type="dxa" w:w="3360"/>
          </w:tcPr>
          <w:p>
            <w:r>
              <w:t>Transmitter power</w:t>
            </w:r>
          </w:p>
        </w:tc>
        <w:tc>
          <w:tcPr>
            <w:tcW w:type="dxa" w:w="3360"/>
          </w:tcPr>
          <w:p>
            <w:r>
              <w:t>6.99 dBW</w:t>
            </w:r>
          </w:p>
        </w:tc>
        <w:tc>
          <w:tcPr>
            <w:tcW w:type="dxa" w:w="3360"/>
          </w:tcPr>
          <w:p>
            <w:r>
              <w:t>5 W assumed</w:t>
            </w:r>
          </w:p>
        </w:tc>
      </w:tr>
      <w:tr>
        <w:tc>
          <w:tcPr>
            <w:tcW w:type="dxa" w:w="3360"/>
          </w:tcPr>
          <w:p>
            <w:r>
              <w:t>Additional losses</w:t>
            </w:r>
          </w:p>
        </w:tc>
        <w:tc>
          <w:tcPr>
            <w:tcW w:type="dxa" w:w="3360"/>
          </w:tcPr>
          <w:p>
            <w:r>
              <w:t>3.5 dB</w:t>
            </w:r>
          </w:p>
        </w:tc>
        <w:tc>
          <w:tcPr>
            <w:tcW w:type="dxa" w:w="3360"/>
          </w:tcPr>
          <w:p>
            <w:r>
              <w:t>Lumped assumed allowance</w:t>
            </w:r>
          </w:p>
        </w:tc>
      </w:tr>
      <w:tr>
        <w:tc>
          <w:tcPr>
            <w:tcW w:type="dxa" w:w="3360"/>
          </w:tcPr>
          <w:p>
            <w:r>
              <w:t>Estimated received power</w:t>
            </w:r>
          </w:p>
        </w:tc>
        <w:tc>
          <w:tcPr>
            <w:tcW w:type="dxa" w:w="3360"/>
          </w:tcPr>
          <w:p>
            <w:r>
              <w:t>−99.12 dBW (−69.12 dBm)</w:t>
            </w:r>
          </w:p>
        </w:tc>
        <w:tc>
          <w:tcPr>
            <w:tcW w:type="dxa" w:w="3360"/>
          </w:tcPr>
          <w:p>
            <w:r>
              <w:t>Preliminary only; excludes receiver noise/link margin assessment</w:t>
            </w:r>
          </w:p>
        </w:tc>
      </w:tr>
    </w:tbl>
    <w:p>
      <w:pPr>
        <w:pStyle w:val="Heading1"/>
      </w:pPr>
      <w:r>
        <w:t>7. Validation, Uncertainty and Failure Modes</w:t>
      </w:r>
    </w:p>
    <w:p>
      <w:r>
        <w:t>The calculation chain is internally traceable from frequency, geometry, antenna dimensions, efficiency, transmitter power, and aggregate losses. However, numerical precision should not be confused with accuracy: several dominant inputs are illustrative. Range changes are especially influential because FSPL varies as 20 log₁₀(R); doubling range increases path loss by about 6.02 dB. A 1 dB increase in any loss term reduces received power by 1 dB. Antenna gain depends on efficiency and aperture dimensions, and real patterns introduce off-axis pointing loss.</w:t>
      </w:r>
    </w:p>
    <w:p>
      <w:pPr>
        <w:pStyle w:val="ListBullet"/>
      </w:pPr>
      <w:r>
        <w:t>Missing receiver noise temperature or system noise figure prevents calculation of G/T, C/N0, Eb/N0, and usable data rate.</w:t>
      </w:r>
    </w:p>
    <w:p>
      <w:pPr>
        <w:pStyle w:val="ListBullet"/>
      </w:pPr>
      <w:r>
        <w:t>Missing modulation, coding rate, symbol rate, and required performance threshold prevents calculation of link margin.</w:t>
      </w:r>
    </w:p>
    <w:p>
      <w:pPr>
        <w:pStyle w:val="ListBullet"/>
      </w:pPr>
      <w:r>
        <w:t>Pointing error, polarization mismatch, feeder loss, atmospheric effects, implementation losses, and ground-station tracking performance need separate budgets.</w:t>
      </w:r>
    </w:p>
    <w:p>
      <w:pPr>
        <w:pStyle w:val="ListBullet"/>
      </w:pPr>
      <w:r>
        <w:t>LEO slant range changes throughout a pass; worst-case geometry and elevation masks must be evaluated rather than relying on one range.</w:t>
      </w:r>
    </w:p>
    <w:p>
      <w:pPr>
        <w:pStyle w:val="ListBullet"/>
      </w:pPr>
      <w:r>
        <w:t>Frequency allocation, coordination, and licensing are outside this educational calculation and must be confirmed by the responsible organization.</w:t>
      </w:r>
    </w:p>
    <w:p>
      <w:pPr>
        <w:pStyle w:val="Heading1"/>
      </w:pPr>
      <w:r>
        <w:t>8. Conclusions and Recommendations</w:t>
      </w:r>
    </w:p>
    <w:p>
      <w:r>
        <w:t>The study demonstrates a repeatable first-order method for estimating antenna gains, free-space attenuation, and received carrier power for a notional LEO downlink. Under the stated assumptions, the estimated received power is approximately −69.12 dBm at a 1,500 km slant range. This result is not sufficient to conclude that a telemetry link closes, because the receiver noise, bandwidth, waveform, coding, and required margin are not specified.</w:t>
      </w:r>
    </w:p>
    <w:p>
      <w:pPr>
        <w:pStyle w:val="ListNumber"/>
      </w:pPr>
      <w:r>
        <w:t>Obtain and freeze mission-approved values for frequency, RF output power, antenna pattern/efficiency, spacecraft attitude and pointing, orbit/pass geometry, and ground-station characteristics.</w:t>
      </w:r>
    </w:p>
    <w:p>
      <w:pPr>
        <w:pStyle w:val="ListNumber"/>
      </w:pPr>
      <w:r>
        <w:t>Replace the lumped 3.5 dB allowance with an itemized loss budget including feeder, polarization, pointing, implementation, and applicable propagation losses.</w:t>
      </w:r>
    </w:p>
    <w:p>
      <w:pPr>
        <w:pStyle w:val="ListNumber"/>
      </w:pPr>
      <w:r>
        <w:t>Select the exact CCSDS framing, synchronization, modulation, and coding configuration against mission requirements and equipment support.</w:t>
      </w:r>
    </w:p>
    <w:p>
      <w:pPr>
        <w:pStyle w:val="ListNumber"/>
      </w:pPr>
      <w:r>
        <w:t>Calculate G/T, C/N0, Eb/N0, data-rate capability, and link margin over the full pass, including worst-case geometry.</w:t>
      </w:r>
    </w:p>
    <w:p>
      <w:pPr>
        <w:pStyle w:val="ListNumber"/>
      </w:pPr>
      <w:r>
        <w:t>Have an RF/communications engineer independently review the assumptions, calculations, standards revisions, and margin criteria before design use.</w:t>
      </w:r>
    </w:p>
    <w:p>
      <w:pPr>
        <w:pStyle w:val="Heading1"/>
      </w:pPr>
      <w:r>
        <w:t>9. Four-Week Work Summary</w:t>
      </w:r>
    </w:p>
    <w:p>
      <w:r>
        <w:rPr>
          <w:b/>
        </w:rPr>
        <w:t xml:space="preserve">Week 1 — Planning and Link Budget: </w:t>
      </w:r>
      <w:r>
        <w:t>Defined the notional LEO downlink, research approach, assumptions register, standards/reference plan, tools, and schedule.</w:t>
      </w:r>
    </w:p>
    <w:p>
      <w:r>
        <w:rPr>
          <w:b/>
        </w:rPr>
        <w:t xml:space="preserve">Week 2 — Antenna Study: </w:t>
      </w:r>
      <w:r>
        <w:t>Applied aperture-gain and free-space propagation equations; documented preliminary antenna parameters and received-power calculation.</w:t>
      </w:r>
    </w:p>
    <w:p>
      <w:r>
        <w:rPr>
          <w:b/>
        </w:rPr>
        <w:t xml:space="preserve">Week 3 — Protocol Selection and Validation: </w:t>
      </w:r>
      <w:r>
        <w:t>Reviewed CCSDS/ITU-R standards families, checked arithmetic and assumptions, and documented uncertainties and validation gaps.</w:t>
      </w:r>
    </w:p>
    <w:p>
      <w:r>
        <w:rPr>
          <w:b/>
        </w:rPr>
        <w:t xml:space="preserve">Week 4 — Final Communications Report: </w:t>
      </w:r>
      <w:r>
        <w:t>Consolidated the work into an executive-level report, actionable conclusions, recommendations, and a short technical presentation.</w:t>
      </w:r>
    </w:p>
    <w:p>
      <w:pPr>
        <w:pStyle w:val="Heading1"/>
      </w:pPr>
      <w:r>
        <w:t>10. References</w:t>
      </w:r>
    </w:p>
    <w:p>
      <w:pPr>
        <w:pStyle w:val="ListNumber"/>
      </w:pPr>
      <w:r>
        <w:t>ITU-R, Recommendation P.525, Calculation of free-space attenuation. Consult the current ITU-R publication for the applicable revision.</w:t>
      </w:r>
    </w:p>
    <w:p>
      <w:pPr>
        <w:pStyle w:val="ListNumber"/>
      </w:pPr>
      <w:r>
        <w:t>CCSDS, 401-series recommendations, Radio Frequency and Modulation Systems. Confirm applicable volume and revision for the mission.</w:t>
      </w:r>
    </w:p>
    <w:p>
      <w:pPr>
        <w:pStyle w:val="ListNumber"/>
      </w:pPr>
      <w:r>
        <w:t>CCSDS, 131-series recommendations, TM Synchronization and Channel Coding. Confirm applicable revision and selected coding options.</w:t>
      </w:r>
    </w:p>
    <w:p>
      <w:pPr>
        <w:pStyle w:val="ListNumber"/>
      </w:pPr>
      <w:r>
        <w:t>CCSDS, 132-series recommendation, TM Space Data Link Protocol. Confirm applicable revision and service configuration.</w:t>
      </w:r>
    </w:p>
    <w:p>
      <w:pPr>
        <w:pStyle w:val="ListNumber"/>
      </w:pPr>
      <w:r>
        <w:t>NASA, Deep Space Network (DSN) Telecommunications Link Design Handbook, applicable sections on link budgets and antenna performance. Use as a general engineering reference; the present study is LEO and not a DSN mission design.</w:t>
      </w:r>
    </w:p>
    <w:p>
      <w:r>
        <w:t>Document note: Standards and handbook editions should be checked directly with the issuing organizations before use in a formal engineering baseline.</w:t>
      </w:r>
    </w:p>
    <w:p>
      <w:pPr>
        <w:pStyle w:val="Heading1"/>
      </w:pPr>
      <w:r>
        <w:t>Appendix A — Short Presentation Outline</w:t>
      </w:r>
    </w:p>
    <w:p>
      <w:r>
        <w:t>A seven-slide presentation accompanies this report. It is designed for a technical walkthrough of approximately 5–7 minutes, leaving time for questions within the internship's under-10-minute requirement.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95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E6550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8395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