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C900" w14:textId="450A82C1" w:rsidR="00B41616" w:rsidRPr="00B41616" w:rsidRDefault="00B41616" w:rsidP="00B41616">
      <w:pPr>
        <w:spacing w:line="276" w:lineRule="auto"/>
        <w:jc w:val="center"/>
        <w:rPr>
          <w:b/>
          <w:bCs/>
          <w:sz w:val="48"/>
          <w:szCs w:val="48"/>
        </w:rPr>
      </w:pPr>
      <w:r w:rsidRPr="00B41616">
        <w:rPr>
          <w:b/>
          <w:bCs/>
          <w:sz w:val="48"/>
          <w:szCs w:val="48"/>
        </w:rPr>
        <w:t>Data Pipeline:</w:t>
      </w:r>
    </w:p>
    <w:p w14:paraId="4A0DD459" w14:textId="77777777" w:rsidR="00B41616" w:rsidRPr="00B41616" w:rsidRDefault="00B41616" w:rsidP="00B41616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B41616">
        <w:rPr>
          <w:rFonts w:ascii="Arial" w:hAnsi="Arial" w:cs="Arial"/>
          <w:b/>
          <w:bCs/>
          <w:sz w:val="28"/>
          <w:szCs w:val="28"/>
        </w:rPr>
        <w:t>1. Data Source &amp; Collection</w:t>
      </w:r>
    </w:p>
    <w:p w14:paraId="0F9841E3" w14:textId="77777777" w:rsidR="00B41616" w:rsidRPr="00B41616" w:rsidRDefault="00B41616" w:rsidP="00B4161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Source</w:t>
      </w:r>
      <w:r w:rsidRPr="00B41616">
        <w:rPr>
          <w:rFonts w:ascii="Times New Roman" w:hAnsi="Times New Roman" w:cs="Times New Roman"/>
          <w:sz w:val="24"/>
          <w:szCs w:val="24"/>
        </w:rPr>
        <w:t>: Raw CSV file containing luxury housing data for Bangalore (developers, booking info, prices, configurations, amenities, etc.).</w:t>
      </w:r>
    </w:p>
    <w:p w14:paraId="5F2455FD" w14:textId="77777777" w:rsidR="00B41616" w:rsidRPr="00B41616" w:rsidRDefault="00B41616" w:rsidP="00B4161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Problem</w:t>
      </w:r>
      <w:r w:rsidRPr="00B41616">
        <w:rPr>
          <w:rFonts w:ascii="Times New Roman" w:hAnsi="Times New Roman" w:cs="Times New Roman"/>
          <w:sz w:val="24"/>
          <w:szCs w:val="24"/>
        </w:rPr>
        <w:t>: The file was inconsistent — missing values, mixed formats, duplicates, and noise.</w:t>
      </w:r>
    </w:p>
    <w:p w14:paraId="1003B16A" w14:textId="77777777" w:rsidR="00B41616" w:rsidRPr="00B41616" w:rsidRDefault="00B41616" w:rsidP="00B41616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B41616">
        <w:rPr>
          <w:rFonts w:ascii="Arial" w:hAnsi="Arial" w:cs="Arial"/>
          <w:b/>
          <w:bCs/>
          <w:sz w:val="28"/>
          <w:szCs w:val="28"/>
        </w:rPr>
        <w:t>2. Data Cleaning &amp; Preparation (Python)</w:t>
      </w:r>
    </w:p>
    <w:p w14:paraId="78B9F590" w14:textId="77777777" w:rsidR="00B41616" w:rsidRPr="00B41616" w:rsidRDefault="00B41616" w:rsidP="00B4161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 w:rsidRPr="00B41616">
        <w:rPr>
          <w:rFonts w:ascii="Times New Roman" w:hAnsi="Times New Roman" w:cs="Times New Roman"/>
          <w:sz w:val="24"/>
          <w:szCs w:val="24"/>
        </w:rPr>
        <w:t xml:space="preserve"> pandas, numpy, datetime, matplotlib, sqlalchemy.</w:t>
      </w:r>
    </w:p>
    <w:p w14:paraId="110E8F26" w14:textId="77777777" w:rsidR="00B41616" w:rsidRPr="00B41616" w:rsidRDefault="00B41616" w:rsidP="00B4161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Key Cleaning Steps:</w:t>
      </w:r>
    </w:p>
    <w:p w14:paraId="769665C4" w14:textId="77777777" w:rsidR="00B41616" w:rsidRPr="00B41616" w:rsidRDefault="00B41616" w:rsidP="00B41616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Removed duplicate and null records.</w:t>
      </w:r>
    </w:p>
    <w:p w14:paraId="02CAFC8E" w14:textId="77777777" w:rsidR="00B41616" w:rsidRPr="00B41616" w:rsidRDefault="00B41616" w:rsidP="00B41616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Standardized date formats and numerical columns (price, ticket_size, etc.).</w:t>
      </w:r>
    </w:p>
    <w:p w14:paraId="404779E0" w14:textId="77777777" w:rsidR="00B41616" w:rsidRPr="00B41616" w:rsidRDefault="00B41616" w:rsidP="00B41616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Converted text columns (like developer_name, micro_market) to proper case.</w:t>
      </w:r>
    </w:p>
    <w:p w14:paraId="111B5940" w14:textId="77777777" w:rsidR="00B41616" w:rsidRPr="00B41616" w:rsidRDefault="00B41616" w:rsidP="00B41616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Imputed missing amenity_score and booking_flag logically or with median values.</w:t>
      </w:r>
    </w:p>
    <w:p w14:paraId="613BB2AE" w14:textId="77777777" w:rsidR="00B41616" w:rsidRPr="00B41616" w:rsidRDefault="00B41616" w:rsidP="00B41616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Derived new metrics:</w:t>
      </w:r>
    </w:p>
    <w:p w14:paraId="4A42B386" w14:textId="77777777" w:rsidR="00B41616" w:rsidRPr="00B41616" w:rsidRDefault="00B41616" w:rsidP="00B41616">
      <w:pPr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1616">
        <w:rPr>
          <w:rFonts w:ascii="Times New Roman" w:hAnsi="Times New Roman" w:cs="Times New Roman"/>
          <w:sz w:val="24"/>
          <w:szCs w:val="24"/>
        </w:rPr>
        <w:t>Booking_Conversion_Rate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Booked_Count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Total_Enquiries</w:t>
      </w:r>
      <w:proofErr w:type="spellEnd"/>
    </w:p>
    <w:p w14:paraId="7BEDEE3F" w14:textId="77777777" w:rsidR="00B41616" w:rsidRPr="00B41616" w:rsidRDefault="00B41616" w:rsidP="00B41616">
      <w:pPr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1616">
        <w:rPr>
          <w:rFonts w:ascii="Times New Roman" w:hAnsi="Times New Roman" w:cs="Times New Roman"/>
          <w:sz w:val="24"/>
          <w:szCs w:val="24"/>
        </w:rPr>
        <w:t>Total_Ticket_Sales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Avg_Ticket_Price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Booking_Count</w:t>
      </w:r>
      <w:proofErr w:type="spellEnd"/>
    </w:p>
    <w:p w14:paraId="71D9ED88" w14:textId="77777777" w:rsidR="00B41616" w:rsidRPr="00B41616" w:rsidRDefault="00B41616" w:rsidP="00B41616">
      <w:pPr>
        <w:numPr>
          <w:ilvl w:val="2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1616">
        <w:rPr>
          <w:rFonts w:ascii="Times New Roman" w:hAnsi="Times New Roman" w:cs="Times New Roman"/>
          <w:sz w:val="24"/>
          <w:szCs w:val="24"/>
        </w:rPr>
        <w:t>Quarter_Year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 xml:space="preserve"> derived from booking date.</w:t>
      </w:r>
    </w:p>
    <w:p w14:paraId="507A63FB" w14:textId="77777777" w:rsidR="00B41616" w:rsidRPr="00B41616" w:rsidRDefault="00B41616" w:rsidP="00B4161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B41616">
        <w:rPr>
          <w:rFonts w:ascii="Times New Roman" w:hAnsi="Times New Roman" w:cs="Times New Roman"/>
          <w:sz w:val="24"/>
          <w:szCs w:val="24"/>
        </w:rPr>
        <w:t xml:space="preserve"> Clean dataset exported as Luxury_Housing_Sales_Analysis.csv.</w:t>
      </w:r>
    </w:p>
    <w:p w14:paraId="025A6B7B" w14:textId="77777777" w:rsidR="00B41616" w:rsidRPr="00B41616" w:rsidRDefault="00B41616" w:rsidP="00B41616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B41616">
        <w:rPr>
          <w:rFonts w:ascii="Arial" w:hAnsi="Arial" w:cs="Arial"/>
          <w:b/>
          <w:bCs/>
          <w:sz w:val="28"/>
          <w:szCs w:val="28"/>
        </w:rPr>
        <w:t>3. Data Storage in PostgreSQL</w:t>
      </w:r>
    </w:p>
    <w:p w14:paraId="61D9F23F" w14:textId="77777777" w:rsidR="00B41616" w:rsidRPr="00B41616" w:rsidRDefault="00B41616" w:rsidP="00B4161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B41616">
        <w:rPr>
          <w:rFonts w:ascii="Times New Roman" w:hAnsi="Times New Roman" w:cs="Times New Roman"/>
          <w:sz w:val="24"/>
          <w:szCs w:val="24"/>
        </w:rPr>
        <w:t xml:space="preserve"> PostgreSQL (chosen for scalability and Power BI integration).</w:t>
      </w:r>
    </w:p>
    <w:p w14:paraId="012F4D4F" w14:textId="77777777" w:rsidR="00B41616" w:rsidRPr="00B41616" w:rsidRDefault="00B41616" w:rsidP="00B41616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Loading Process:</w:t>
      </w:r>
    </w:p>
    <w:p w14:paraId="0EB581D4" w14:textId="77777777" w:rsidR="00B41616" w:rsidRPr="00B41616" w:rsidRDefault="00B41616" w:rsidP="00B41616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 xml:space="preserve">Created SQL table schema using 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>.</w:t>
      </w:r>
    </w:p>
    <w:p w14:paraId="64426959" w14:textId="77777777" w:rsidR="00B41616" w:rsidRPr="00B41616" w:rsidRDefault="00B41616" w:rsidP="00B41616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Loaded cleaned CSV into PostgreSQL using Python engine connection.</w:t>
      </w:r>
    </w:p>
    <w:p w14:paraId="62D05DAC" w14:textId="77777777" w:rsidR="00B41616" w:rsidRPr="00B41616" w:rsidRDefault="00B41616" w:rsidP="00B41616">
      <w:pPr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lastRenderedPageBreak/>
        <w:t>Verified data integrity with random sampling and summary stats.</w:t>
      </w:r>
    </w:p>
    <w:p w14:paraId="6EA68C03" w14:textId="77777777" w:rsidR="00B41616" w:rsidRPr="00B41616" w:rsidRDefault="00B41616" w:rsidP="00B41616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B41616">
        <w:rPr>
          <w:rFonts w:ascii="Arial" w:hAnsi="Arial" w:cs="Arial"/>
          <w:b/>
          <w:bCs/>
          <w:sz w:val="28"/>
          <w:szCs w:val="28"/>
        </w:rPr>
        <w:t>4. Data Integration with Power BI</w:t>
      </w:r>
    </w:p>
    <w:p w14:paraId="06564AF3" w14:textId="77777777" w:rsidR="00B41616" w:rsidRPr="00B41616" w:rsidRDefault="00B41616" w:rsidP="00B41616">
      <w:pPr>
        <w:numPr>
          <w:ilvl w:val="0"/>
          <w:numId w:val="4"/>
        </w:numPr>
        <w:spacing w:line="276" w:lineRule="auto"/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Connection Type:</w:t>
      </w:r>
      <w:r w:rsidRPr="00B41616">
        <w:t xml:space="preserve"> </w:t>
      </w:r>
      <w:r w:rsidRPr="00B41616">
        <w:rPr>
          <w:rFonts w:ascii="Times New Roman" w:hAnsi="Times New Roman" w:cs="Times New Roman"/>
          <w:sz w:val="24"/>
          <w:szCs w:val="24"/>
        </w:rPr>
        <w:t>Live connection to PostgreSQL (so dashboards refresh automatically).</w:t>
      </w:r>
    </w:p>
    <w:p w14:paraId="3786097F" w14:textId="77777777" w:rsidR="00B41616" w:rsidRPr="00B41616" w:rsidRDefault="00B41616" w:rsidP="00B41616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B41616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B4161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270FF9" w14:textId="77777777" w:rsidR="00B41616" w:rsidRPr="00B41616" w:rsidRDefault="00B41616" w:rsidP="00B41616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 xml:space="preserve">Defined relationships among Developer, 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MicroMarket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>, and Sales tables.</w:t>
      </w:r>
    </w:p>
    <w:p w14:paraId="719C9E31" w14:textId="77777777" w:rsidR="00B41616" w:rsidRPr="00B41616" w:rsidRDefault="00B41616" w:rsidP="00B41616">
      <w:pPr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Created calculated columns and DAX measures such as:</w:t>
      </w:r>
    </w:p>
    <w:p w14:paraId="206DBCBB" w14:textId="77777777" w:rsidR="00B41616" w:rsidRPr="00B41616" w:rsidRDefault="00B41616" w:rsidP="00B41616">
      <w:pPr>
        <w:numPr>
          <w:ilvl w:val="2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>Total Revenue = SUM(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Total_Ticket_Sales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>)</w:t>
      </w:r>
    </w:p>
    <w:p w14:paraId="2CEE2063" w14:textId="77777777" w:rsidR="00B41616" w:rsidRPr="00B41616" w:rsidRDefault="00B41616" w:rsidP="00B41616">
      <w:pPr>
        <w:numPr>
          <w:ilvl w:val="2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t xml:space="preserve">Booking Success Rate = </w:t>
      </w:r>
      <w:proofErr w:type="gramStart"/>
      <w:r w:rsidRPr="00B41616">
        <w:rPr>
          <w:rFonts w:ascii="Times New Roman" w:hAnsi="Times New Roman" w:cs="Times New Roman"/>
          <w:sz w:val="24"/>
          <w:szCs w:val="24"/>
        </w:rPr>
        <w:t>DIVIDE(</w:t>
      </w:r>
      <w:proofErr w:type="spellStart"/>
      <w:proofErr w:type="gramEnd"/>
      <w:r w:rsidRPr="00B41616">
        <w:rPr>
          <w:rFonts w:ascii="Times New Roman" w:hAnsi="Times New Roman" w:cs="Times New Roman"/>
          <w:sz w:val="24"/>
          <w:szCs w:val="24"/>
        </w:rPr>
        <w:t>Booked_Count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Total_Enquiries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>)</w:t>
      </w:r>
    </w:p>
    <w:p w14:paraId="465D3042" w14:textId="77777777" w:rsidR="00B41616" w:rsidRDefault="00B41616" w:rsidP="00B41616">
      <w:pPr>
        <w:numPr>
          <w:ilvl w:val="2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41616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 xml:space="preserve"> Ticket Price = AVERAGE(</w:t>
      </w:r>
      <w:proofErr w:type="spellStart"/>
      <w:r w:rsidRPr="00B41616">
        <w:rPr>
          <w:rFonts w:ascii="Times New Roman" w:hAnsi="Times New Roman" w:cs="Times New Roman"/>
          <w:sz w:val="24"/>
          <w:szCs w:val="24"/>
        </w:rPr>
        <w:t>Ticket_Price_Cr</w:t>
      </w:r>
      <w:proofErr w:type="spellEnd"/>
      <w:r w:rsidRPr="00B41616">
        <w:rPr>
          <w:rFonts w:ascii="Times New Roman" w:hAnsi="Times New Roman" w:cs="Times New Roman"/>
          <w:sz w:val="24"/>
          <w:szCs w:val="24"/>
        </w:rPr>
        <w:t>)</w:t>
      </w:r>
    </w:p>
    <w:p w14:paraId="527F0A55" w14:textId="77777777" w:rsidR="00162FFB" w:rsidRPr="00B41616" w:rsidRDefault="00162FFB" w:rsidP="00162FF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1139F5" w14:textId="77777777" w:rsidR="00B41616" w:rsidRPr="00B41616" w:rsidRDefault="00B41616" w:rsidP="00B41616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B41616">
        <w:rPr>
          <w:rFonts w:ascii="Arial" w:hAnsi="Arial" w:cs="Arial"/>
          <w:b/>
          <w:bCs/>
          <w:sz w:val="28"/>
          <w:szCs w:val="28"/>
        </w:rPr>
        <w:t>5. Dashboard Design in Power BI</w:t>
      </w:r>
    </w:p>
    <w:p w14:paraId="2FE927A6" w14:textId="031853F8" w:rsidR="00B41616" w:rsidRPr="00B41616" w:rsidRDefault="00B41616" w:rsidP="00B4161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41616">
        <w:rPr>
          <w:rFonts w:ascii="Times New Roman" w:hAnsi="Times New Roman" w:cs="Times New Roman"/>
          <w:sz w:val="24"/>
          <w:szCs w:val="24"/>
        </w:rPr>
        <w:t>Two interactive Power BI dashboards were created:</w:t>
      </w:r>
    </w:p>
    <w:p w14:paraId="67DC372A" w14:textId="406FC36D" w:rsidR="00B41616" w:rsidRPr="00B41616" w:rsidRDefault="00162FFB" w:rsidP="00162FFB">
      <w:pPr>
        <w:spacing w:line="276" w:lineRule="auto"/>
        <w:rPr>
          <w:b/>
          <w:bCs/>
        </w:rPr>
      </w:pPr>
      <w:r>
        <w:rPr>
          <w:b/>
          <w:bCs/>
        </w:rPr>
        <w:t xml:space="preserve">       </w:t>
      </w:r>
      <w:r w:rsidR="00B41616">
        <w:rPr>
          <w:b/>
          <w:bCs/>
        </w:rPr>
        <w:t xml:space="preserve">    </w:t>
      </w:r>
      <w:r w:rsidR="00B41616" w:rsidRPr="00B41616">
        <w:rPr>
          <w:rFonts w:ascii="Times New Roman" w:hAnsi="Times New Roman" w:cs="Times New Roman"/>
          <w:b/>
          <w:bCs/>
          <w:sz w:val="24"/>
          <w:szCs w:val="24"/>
        </w:rPr>
        <w:t>Dashboard 1: Market &amp; Builder Overview</w:t>
      </w:r>
      <w:r w:rsidR="00B41616">
        <w:rPr>
          <w:b/>
          <w:bCs/>
        </w:rPr>
        <w:t xml:space="preserve"> -</w:t>
      </w:r>
      <w:r w:rsidR="00B41616" w:rsidRPr="00B41616">
        <w:rPr>
          <w:rFonts w:ascii="Times New Roman" w:hAnsi="Times New Roman" w:cs="Times New Roman"/>
          <w:sz w:val="24"/>
          <w:szCs w:val="24"/>
        </w:rPr>
        <w:t>Contains 5 visuals:</w:t>
      </w:r>
    </w:p>
    <w:p w14:paraId="063D3F92" w14:textId="77777777" w:rsidR="00B41616" w:rsidRPr="00B41616" w:rsidRDefault="00B41616" w:rsidP="00B4161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Market Trends (Line Chart) –</w:t>
      </w:r>
      <w:r w:rsidRPr="00B41616">
        <w:t xml:space="preserve"> </w:t>
      </w:r>
      <w:r w:rsidRPr="00B41616">
        <w:rPr>
          <w:rFonts w:ascii="Times New Roman" w:hAnsi="Times New Roman" w:cs="Times New Roman"/>
          <w:sz w:val="24"/>
          <w:szCs w:val="24"/>
        </w:rPr>
        <w:t>Quarterly booking trend by micro-market.</w:t>
      </w:r>
    </w:p>
    <w:p w14:paraId="76BC7A6F" w14:textId="77777777" w:rsidR="00B41616" w:rsidRPr="00B41616" w:rsidRDefault="00B41616" w:rsidP="00B4161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Builder Performance (Bar + Line Chart) –</w:t>
      </w:r>
      <w:r w:rsidRPr="00B41616">
        <w:t xml:space="preserve"> </w:t>
      </w:r>
      <w:r w:rsidRPr="00B41616">
        <w:rPr>
          <w:rFonts w:ascii="Times New Roman" w:hAnsi="Times New Roman" w:cs="Times New Roman"/>
          <w:sz w:val="24"/>
          <w:szCs w:val="24"/>
        </w:rPr>
        <w:t>Total sales vs average ticket price.</w:t>
      </w:r>
    </w:p>
    <w:p w14:paraId="37B1EF95" w14:textId="77777777" w:rsidR="00B41616" w:rsidRPr="00B41616" w:rsidRDefault="00B41616" w:rsidP="00B41616">
      <w:pPr>
        <w:numPr>
          <w:ilvl w:val="0"/>
          <w:numId w:val="5"/>
        </w:numPr>
        <w:spacing w:line="276" w:lineRule="auto"/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Amenity Impact (Scatter Plot) –</w:t>
      </w:r>
      <w:r w:rsidRPr="00B41616">
        <w:t xml:space="preserve"> </w:t>
      </w:r>
      <w:r w:rsidRPr="00B41616">
        <w:rPr>
          <w:rFonts w:ascii="Times New Roman" w:hAnsi="Times New Roman" w:cs="Times New Roman"/>
          <w:sz w:val="24"/>
          <w:szCs w:val="24"/>
        </w:rPr>
        <w:t>Relationship between amenities and bookings.</w:t>
      </w:r>
    </w:p>
    <w:p w14:paraId="4040F953" w14:textId="77777777" w:rsidR="00B41616" w:rsidRPr="00B41616" w:rsidRDefault="00B41616" w:rsidP="00B4161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Booking Conversion (Donut Chart) –</w:t>
      </w:r>
      <w:r w:rsidRPr="00B41616">
        <w:t xml:space="preserve"> </w:t>
      </w:r>
      <w:r w:rsidRPr="00B41616">
        <w:rPr>
          <w:rFonts w:ascii="Times New Roman" w:hAnsi="Times New Roman" w:cs="Times New Roman"/>
          <w:sz w:val="24"/>
          <w:szCs w:val="24"/>
        </w:rPr>
        <w:t>Booking % by configuration type.</w:t>
      </w:r>
    </w:p>
    <w:p w14:paraId="2BFE7BF0" w14:textId="66AF3AED" w:rsidR="00162FFB" w:rsidRDefault="00B41616" w:rsidP="00162FFB">
      <w:pPr>
        <w:numPr>
          <w:ilvl w:val="0"/>
          <w:numId w:val="5"/>
        </w:numPr>
        <w:spacing w:line="276" w:lineRule="auto"/>
      </w:pPr>
      <w:r w:rsidRPr="00B41616">
        <w:rPr>
          <w:rFonts w:ascii="Times New Roman" w:hAnsi="Times New Roman" w:cs="Times New Roman"/>
          <w:b/>
          <w:bCs/>
          <w:sz w:val="24"/>
          <w:szCs w:val="24"/>
        </w:rPr>
        <w:t>Configuration Demand (Stacked Column) –</w:t>
      </w:r>
      <w:r w:rsidRPr="00B41616">
        <w:t xml:space="preserve"> </w:t>
      </w:r>
      <w:r w:rsidRPr="00B41616">
        <w:rPr>
          <w:rFonts w:ascii="Times New Roman" w:hAnsi="Times New Roman" w:cs="Times New Roman"/>
          <w:sz w:val="24"/>
          <w:szCs w:val="24"/>
        </w:rPr>
        <w:t>Booked vs not booked by micro-market.</w:t>
      </w:r>
    </w:p>
    <w:p w14:paraId="729CFACE" w14:textId="77777777" w:rsidR="00162FFB" w:rsidRPr="00B41616" w:rsidRDefault="00162FFB" w:rsidP="00162FFB">
      <w:pPr>
        <w:spacing w:line="276" w:lineRule="auto"/>
      </w:pPr>
    </w:p>
    <w:p w14:paraId="02A55EC7" w14:textId="4B39070D" w:rsidR="0069334F" w:rsidRDefault="00162FFB" w:rsidP="006933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="00B41616" w:rsidRPr="00B41616">
        <w:rPr>
          <w:rFonts w:ascii="Times New Roman" w:hAnsi="Times New Roman" w:cs="Times New Roman"/>
          <w:b/>
          <w:bCs/>
          <w:sz w:val="24"/>
          <w:szCs w:val="24"/>
        </w:rPr>
        <w:t>Dashboard 2: Channel &amp; Buyer Insights</w:t>
      </w:r>
      <w:r w:rsidR="00B4161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B41616" w:rsidRPr="00B41616">
        <w:rPr>
          <w:rFonts w:ascii="Times New Roman" w:hAnsi="Times New Roman" w:cs="Times New Roman"/>
          <w:sz w:val="24"/>
          <w:szCs w:val="24"/>
        </w:rPr>
        <w:t>Contains another 5 visuals:</w:t>
      </w:r>
    </w:p>
    <w:p w14:paraId="13C00B74" w14:textId="5C4442C1" w:rsidR="0069334F" w:rsidRDefault="00B41616" w:rsidP="006933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1616">
        <w:br/>
      </w:r>
      <w:r w:rsidR="00162FFB">
        <w:t xml:space="preserve">        </w:t>
      </w:r>
      <w:r w:rsidRPr="00B41616">
        <w:t xml:space="preserve">6. </w:t>
      </w:r>
      <w:r w:rsidRPr="00B41616">
        <w:rPr>
          <w:rFonts w:ascii="Times New Roman" w:hAnsi="Times New Roman" w:cs="Times New Roman"/>
          <w:b/>
          <w:bCs/>
          <w:sz w:val="24"/>
          <w:szCs w:val="24"/>
        </w:rPr>
        <w:t xml:space="preserve">Sales Channel Efficiency (Stacked Chart) – </w:t>
      </w:r>
      <w:r w:rsidRPr="00B41616">
        <w:rPr>
          <w:rFonts w:ascii="Times New Roman" w:hAnsi="Times New Roman" w:cs="Times New Roman"/>
          <w:sz w:val="24"/>
          <w:szCs w:val="24"/>
        </w:rPr>
        <w:t>Booking status by sales channel.</w:t>
      </w:r>
    </w:p>
    <w:p w14:paraId="6C45957D" w14:textId="1CB14CF0" w:rsidR="0069334F" w:rsidRDefault="00B41616" w:rsidP="006933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lastRenderedPageBreak/>
        <w:br/>
      </w:r>
      <w:r w:rsidR="00162FFB">
        <w:t xml:space="preserve">        </w:t>
      </w:r>
      <w:r w:rsidRPr="00B41616">
        <w:t xml:space="preserve">7. </w:t>
      </w:r>
      <w:r w:rsidRPr="00B41616">
        <w:rPr>
          <w:rFonts w:ascii="Times New Roman" w:hAnsi="Times New Roman" w:cs="Times New Roman"/>
          <w:b/>
          <w:bCs/>
          <w:sz w:val="24"/>
          <w:szCs w:val="24"/>
        </w:rPr>
        <w:t>Quarterly Builder Contribution (Matrix) –</w:t>
      </w:r>
      <w:r w:rsidRPr="00B41616">
        <w:t xml:space="preserve"> </w:t>
      </w:r>
      <w:r w:rsidRPr="00B41616">
        <w:rPr>
          <w:rFonts w:ascii="Times New Roman" w:hAnsi="Times New Roman" w:cs="Times New Roman"/>
          <w:sz w:val="24"/>
          <w:szCs w:val="24"/>
        </w:rPr>
        <w:t>Quarterly revenue contribution by builder.</w:t>
      </w:r>
    </w:p>
    <w:p w14:paraId="3663F821" w14:textId="2D1F8796" w:rsidR="0069334F" w:rsidRDefault="00B41616" w:rsidP="006933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br/>
      </w:r>
      <w:r w:rsidR="00162FFB">
        <w:t xml:space="preserve">        </w:t>
      </w:r>
      <w:r w:rsidRPr="00B41616">
        <w:t>8.</w:t>
      </w:r>
      <w:r w:rsidRPr="00B41616">
        <w:rPr>
          <w:rFonts w:ascii="Times New Roman" w:hAnsi="Times New Roman" w:cs="Times New Roman"/>
          <w:b/>
          <w:bCs/>
          <w:sz w:val="24"/>
          <w:szCs w:val="24"/>
        </w:rPr>
        <w:t xml:space="preserve"> Possession Status Analysis (Clustered Chart) – </w:t>
      </w:r>
      <w:r w:rsidRPr="00B41616">
        <w:rPr>
          <w:rFonts w:ascii="Times New Roman" w:hAnsi="Times New Roman" w:cs="Times New Roman"/>
          <w:sz w:val="24"/>
          <w:szCs w:val="24"/>
        </w:rPr>
        <w:t>Buyer type vs possession stage.</w:t>
      </w:r>
    </w:p>
    <w:p w14:paraId="1BA9583D" w14:textId="45F5615E" w:rsidR="0069334F" w:rsidRDefault="00B41616" w:rsidP="006933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41616">
        <w:br/>
      </w:r>
      <w:r w:rsidR="00162FFB">
        <w:rPr>
          <w:rFonts w:ascii="Times New Roman" w:hAnsi="Times New Roman" w:cs="Times New Roman"/>
          <w:sz w:val="24"/>
          <w:szCs w:val="24"/>
        </w:rPr>
        <w:t xml:space="preserve">       </w:t>
      </w:r>
      <w:r w:rsidRPr="00B41616">
        <w:rPr>
          <w:rFonts w:ascii="Times New Roman" w:hAnsi="Times New Roman" w:cs="Times New Roman"/>
          <w:sz w:val="24"/>
          <w:szCs w:val="24"/>
        </w:rPr>
        <w:t>9.</w:t>
      </w:r>
      <w:r w:rsidRPr="00B41616">
        <w:rPr>
          <w:rFonts w:ascii="Times New Roman" w:hAnsi="Times New Roman" w:cs="Times New Roman"/>
          <w:b/>
          <w:bCs/>
          <w:sz w:val="24"/>
          <w:szCs w:val="24"/>
        </w:rPr>
        <w:t xml:space="preserve"> Geographical Insights (Map) –</w:t>
      </w:r>
      <w:r w:rsidRPr="00B41616">
        <w:rPr>
          <w:rFonts w:ascii="Times New Roman" w:hAnsi="Times New Roman" w:cs="Times New Roman"/>
          <w:sz w:val="24"/>
          <w:szCs w:val="24"/>
        </w:rPr>
        <w:t xml:space="preserve"> Micro-market project distribution in Bangalore.</w:t>
      </w:r>
    </w:p>
    <w:p w14:paraId="7C340BC2" w14:textId="0176F246" w:rsidR="00B41616" w:rsidRPr="00B41616" w:rsidRDefault="00B41616" w:rsidP="0069334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1616">
        <w:rPr>
          <w:rFonts w:ascii="Times New Roman" w:hAnsi="Times New Roman" w:cs="Times New Roman"/>
          <w:sz w:val="24"/>
          <w:szCs w:val="24"/>
        </w:rPr>
        <w:br/>
      </w:r>
      <w:r w:rsidR="00162FFB">
        <w:t xml:space="preserve">        </w:t>
      </w:r>
      <w:r w:rsidRPr="00B41616">
        <w:t xml:space="preserve">10. </w:t>
      </w:r>
      <w:r w:rsidRPr="00B41616">
        <w:rPr>
          <w:rFonts w:ascii="Times New Roman" w:hAnsi="Times New Roman" w:cs="Times New Roman"/>
          <w:b/>
          <w:bCs/>
          <w:sz w:val="24"/>
          <w:szCs w:val="24"/>
        </w:rPr>
        <w:t>Top Performers (KPI/Table)</w:t>
      </w:r>
      <w:r w:rsidRPr="00B41616">
        <w:t xml:space="preserve"> – </w:t>
      </w:r>
      <w:r w:rsidRPr="00B41616">
        <w:rPr>
          <w:rFonts w:ascii="Times New Roman" w:hAnsi="Times New Roman" w:cs="Times New Roman"/>
          <w:sz w:val="24"/>
          <w:szCs w:val="24"/>
        </w:rPr>
        <w:t>Top 5 builders by revenue &amp; booking success.</w:t>
      </w:r>
    </w:p>
    <w:p w14:paraId="6B4F70F5" w14:textId="6CB4C77D" w:rsidR="00D177DA" w:rsidRDefault="00CE4F46" w:rsidP="00D177DA">
      <w:r>
        <w:rPr>
          <w:noProof/>
        </w:rPr>
        <w:lastRenderedPageBreak/>
        <w:drawing>
          <wp:inline distT="0" distB="0" distL="0" distR="0" wp14:anchorId="089FBB97" wp14:editId="5247A0E6">
            <wp:extent cx="9251950" cy="5208270"/>
            <wp:effectExtent l="0" t="0" r="6350" b="0"/>
            <wp:docPr id="181671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9713" name="Picture 1816719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55F753" wp14:editId="60273966">
            <wp:extent cx="9251950" cy="5230495"/>
            <wp:effectExtent l="0" t="0" r="6350" b="8255"/>
            <wp:docPr id="1329447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47471" name="Picture 1329447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7689" w14:textId="77777777" w:rsidR="00D177DA" w:rsidRDefault="00D177DA" w:rsidP="00D177DA"/>
    <w:p w14:paraId="587A6424" w14:textId="7FF9D491" w:rsidR="00D177DA" w:rsidRDefault="00D177DA" w:rsidP="00D177DA">
      <w:pPr>
        <w:tabs>
          <w:tab w:val="left" w:pos="1908"/>
        </w:tabs>
      </w:pPr>
      <w:r>
        <w:tab/>
      </w:r>
    </w:p>
    <w:p w14:paraId="19F9049E" w14:textId="77777777" w:rsidR="00D177DA" w:rsidRDefault="00D177DA" w:rsidP="00D177DA"/>
    <w:p w14:paraId="675A030F" w14:textId="04EBB6AF" w:rsidR="00D177DA" w:rsidRDefault="00D177DA" w:rsidP="00D177DA"/>
    <w:tbl>
      <w:tblPr>
        <w:tblpPr w:leftFromText="180" w:rightFromText="180" w:vertAnchor="page" w:horzAnchor="margin" w:tblpXSpec="center" w:tblpY="601"/>
        <w:tblW w:w="1529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78"/>
        <w:gridCol w:w="1895"/>
        <w:gridCol w:w="2898"/>
        <w:gridCol w:w="4792"/>
        <w:gridCol w:w="5036"/>
      </w:tblGrid>
      <w:tr w:rsidR="00D177DA" w:rsidRPr="00162FFB" w14:paraId="765ECA6B" w14:textId="77777777" w:rsidTr="00D177DA">
        <w:trPr>
          <w:trHeight w:val="515"/>
        </w:trPr>
        <w:tc>
          <w:tcPr>
            <w:tcW w:w="15299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</w:tcPr>
          <w:p w14:paraId="5FA27491" w14:textId="69C53E77" w:rsidR="00D177DA" w:rsidRPr="00162FFB" w:rsidRDefault="00D177DA" w:rsidP="00D177DA">
            <w:pPr>
              <w:spacing w:line="276" w:lineRule="auto"/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lastRenderedPageBreak/>
              <w:t>INSIGHTS</w:t>
            </w:r>
          </w:p>
        </w:tc>
      </w:tr>
      <w:tr w:rsidR="00D177DA" w:rsidRPr="00162FFB" w14:paraId="1B9A40A2" w14:textId="77777777" w:rsidTr="00D177DA">
        <w:trPr>
          <w:trHeight w:val="611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52B89A6" w14:textId="42B6DDA6" w:rsidR="00D177DA" w:rsidRPr="00162FFB" w:rsidRDefault="00D177DA" w:rsidP="00D177DA">
            <w:pPr>
              <w:spacing w:line="276" w:lineRule="auto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  <w:lang w:val="en-US"/>
              </w:rPr>
              <w:t>S</w:t>
            </w:r>
            <w:r w:rsidRPr="00162FFB">
              <w:rPr>
                <w:b/>
                <w:bCs/>
                <w:i/>
                <w:iCs/>
                <w:sz w:val="36"/>
                <w:szCs w:val="36"/>
              </w:rPr>
              <w:t>no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224CA12A" w14:textId="3A5071DE" w:rsidR="00D177DA" w:rsidRPr="00162FFB" w:rsidRDefault="00D177DA" w:rsidP="00D177DA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Category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0CF8579" w14:textId="22C97814" w:rsidR="00D177DA" w:rsidRPr="00162FFB" w:rsidRDefault="00D177DA" w:rsidP="00D177DA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Visualization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4405C28" w14:textId="77777777" w:rsidR="00D177DA" w:rsidRPr="00162FFB" w:rsidRDefault="00D177DA" w:rsidP="00D177DA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Key Findings</w:t>
            </w:r>
          </w:p>
        </w:tc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141C4546" w14:textId="77777777" w:rsidR="00D177DA" w:rsidRPr="00162FFB" w:rsidRDefault="00D177DA" w:rsidP="00D177DA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Implications / Recommendations</w:t>
            </w:r>
          </w:p>
        </w:tc>
      </w:tr>
      <w:tr w:rsidR="00D177DA" w:rsidRPr="00162FFB" w14:paraId="24973547" w14:textId="77777777" w:rsidTr="00D177DA">
        <w:trPr>
          <w:trHeight w:val="1883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7AE5528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1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46058BE4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Market Trends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5DD471AF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Quarterly bookings by micro-market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3A1A27D5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Demand fluctuates but Bellary Road &amp; Domlur show consistent upward trends, while some like Bannergatta remain volatile.</w:t>
            </w:r>
          </w:p>
        </w:tc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1876E761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Focus marketing &amp; premium project launches in stable upward micro-markets.</w:t>
            </w:r>
          </w:p>
        </w:tc>
      </w:tr>
      <w:tr w:rsidR="00D177DA" w:rsidRPr="00162FFB" w14:paraId="0A997527" w14:textId="77777777" w:rsidTr="00D177DA">
        <w:trPr>
          <w:trHeight w:val="1429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57E3B1BE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2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5526B4C4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Builder Performance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48F1AEE0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Total sales vs avg ticket price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ACEA1E3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Prestige, L&amp;T Realty, Sobha, Brigade lead in both revenue and high average ticket size.</w:t>
            </w:r>
          </w:p>
        </w:tc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4256B7D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Builders maintaining both volume &amp; price strength should be given priority for partnerships.</w:t>
            </w:r>
          </w:p>
        </w:tc>
      </w:tr>
      <w:tr w:rsidR="00D177DA" w:rsidRPr="00162FFB" w14:paraId="0D7C6481" w14:textId="77777777" w:rsidTr="00D177DA">
        <w:trPr>
          <w:trHeight w:val="1751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3C300B5F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3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1A3109D0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Amenity Impact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6524348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Amenity score vs conversion rate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CEC0F5F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Moderate positive correlation — higher amenity score improves booking rates, especially for developers like Embassy &amp; Godrej.</w:t>
            </w:r>
          </w:p>
        </w:tc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716B723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Invest in lifestyle amenities (clubhouse, smart home tech) to drive higher conversion.</w:t>
            </w:r>
          </w:p>
        </w:tc>
      </w:tr>
      <w:tr w:rsidR="00D177DA" w:rsidRPr="00162FFB" w14:paraId="1A0BC052" w14:textId="77777777" w:rsidTr="00D177DA">
        <w:trPr>
          <w:trHeight w:val="1438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8285179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4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3DCA7A08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Booking Conversion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1BB84E1D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Booking rate by configuration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89973C6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3BHK, 4BHK, and 5BHK+ show almost equal conversion share (~33% each).</w:t>
            </w:r>
          </w:p>
        </w:tc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1FB201E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Balanced market; can bundle smart pricing or interior packages to drive marginal preference.</w:t>
            </w:r>
          </w:p>
        </w:tc>
      </w:tr>
      <w:tr w:rsidR="00D177DA" w:rsidRPr="00162FFB" w14:paraId="3221F4AE" w14:textId="77777777" w:rsidTr="00D177DA">
        <w:trPr>
          <w:trHeight w:val="1429"/>
        </w:trPr>
        <w:tc>
          <w:tcPr>
            <w:tcW w:w="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4FDDBDB7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5</w:t>
            </w:r>
          </w:p>
        </w:tc>
        <w:tc>
          <w:tcPr>
            <w:tcW w:w="1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8C4019B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Configuration Demand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27E4EE7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</w:rPr>
              <w:t>Booking status by micro-market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22A5EB95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Micro-markets like JP Nagar, Sarjapur, Whitefield show stronger “Booked” ratios.</w:t>
            </w:r>
          </w:p>
        </w:tc>
        <w:tc>
          <w:tcPr>
            <w:tcW w:w="5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524B69AD" w14:textId="77777777" w:rsidR="00D177DA" w:rsidRPr="00162FFB" w:rsidRDefault="00D177DA" w:rsidP="00D177DA">
            <w:pPr>
              <w:spacing w:line="276" w:lineRule="auto"/>
              <w:rPr>
                <w:sz w:val="32"/>
                <w:szCs w:val="32"/>
              </w:rPr>
            </w:pPr>
            <w:r w:rsidRPr="00162FFB">
              <w:rPr>
                <w:sz w:val="32"/>
                <w:szCs w:val="32"/>
                <w:lang w:val="en-US"/>
              </w:rPr>
              <w:t>Reallocate sales focus &amp; event campaigns to high-demand zones.</w:t>
            </w:r>
          </w:p>
        </w:tc>
      </w:tr>
    </w:tbl>
    <w:p w14:paraId="11331EE0" w14:textId="725A90DC" w:rsidR="00162FFB" w:rsidRDefault="00162FFB" w:rsidP="00703D4E">
      <w:pPr>
        <w:spacing w:after="100" w:afterAutospacing="1"/>
      </w:pPr>
      <w:r>
        <w:br w:type="page"/>
      </w:r>
    </w:p>
    <w:tbl>
      <w:tblPr>
        <w:tblpPr w:leftFromText="180" w:rightFromText="180" w:horzAnchor="page" w:tblpX="997" w:tblpY="-612"/>
        <w:tblW w:w="1529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78"/>
        <w:gridCol w:w="1838"/>
        <w:gridCol w:w="2904"/>
        <w:gridCol w:w="4826"/>
        <w:gridCol w:w="5053"/>
      </w:tblGrid>
      <w:tr w:rsidR="00703D4E" w:rsidRPr="00162FFB" w14:paraId="663B4DE3" w14:textId="77777777" w:rsidTr="00D177DA">
        <w:trPr>
          <w:trHeight w:val="65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4ECE7D2B" w14:textId="77777777" w:rsidR="00703D4E" w:rsidRPr="00162FFB" w:rsidRDefault="00703D4E" w:rsidP="00CF02BC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  <w:lang w:val="en-US"/>
              </w:rPr>
              <w:lastRenderedPageBreak/>
              <w:t>S</w:t>
            </w:r>
            <w:r w:rsidRPr="00162FFB">
              <w:rPr>
                <w:b/>
                <w:bCs/>
                <w:i/>
                <w:iCs/>
                <w:sz w:val="36"/>
                <w:szCs w:val="36"/>
              </w:rPr>
              <w:t>no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2A4B642" w14:textId="77777777" w:rsidR="00703D4E" w:rsidRPr="00162FFB" w:rsidRDefault="00703D4E" w:rsidP="00CF02BC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Category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3F0E16F" w14:textId="77777777" w:rsidR="00703D4E" w:rsidRPr="00162FFB" w:rsidRDefault="00703D4E" w:rsidP="00CF02BC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Visualization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2B0548E6" w14:textId="77777777" w:rsidR="00703D4E" w:rsidRPr="00162FFB" w:rsidRDefault="00703D4E" w:rsidP="00CF02BC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Key Findings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4CA76C6" w14:textId="77777777" w:rsidR="00703D4E" w:rsidRPr="00162FFB" w:rsidRDefault="00703D4E" w:rsidP="00CF02BC">
            <w:pPr>
              <w:spacing w:line="276" w:lineRule="auto"/>
              <w:jc w:val="center"/>
              <w:rPr>
                <w:sz w:val="36"/>
                <w:szCs w:val="36"/>
              </w:rPr>
            </w:pPr>
            <w:r w:rsidRPr="00162FFB">
              <w:rPr>
                <w:b/>
                <w:bCs/>
                <w:i/>
                <w:iCs/>
                <w:sz w:val="36"/>
                <w:szCs w:val="36"/>
              </w:rPr>
              <w:t>Implications / Recommendations</w:t>
            </w:r>
          </w:p>
        </w:tc>
      </w:tr>
      <w:tr w:rsidR="00703D4E" w:rsidRPr="00162FFB" w14:paraId="56608941" w14:textId="77777777" w:rsidTr="00CF02BC">
        <w:trPr>
          <w:trHeight w:val="1883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C27F401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6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3C88B79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Sales Channel Efficiency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F9B9B3D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Channel-wise booking success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3F9F5DC9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Broker and Direct channels dominate bookings; NRI Desk underperforms.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5FDDADC7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Strengthen digital marketing and NRI-focused lead conversion initiatives.</w:t>
            </w:r>
          </w:p>
        </w:tc>
      </w:tr>
      <w:tr w:rsidR="00703D4E" w:rsidRPr="00162FFB" w14:paraId="3B90B0CE" w14:textId="77777777" w:rsidTr="00CF02BC">
        <w:trPr>
          <w:trHeight w:val="142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507E53E9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7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1965EE8F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Quarterly Builder Contribution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67DA06A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Builder revenue per quarter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4C7FF2C0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Consistent top contributors: Brigade, Embassy, L&amp;T Realty, Sobha.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3908D7C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Develop co-branding with these builders; offer joint promotional campaigns.</w:t>
            </w:r>
          </w:p>
        </w:tc>
      </w:tr>
      <w:tr w:rsidR="00703D4E" w:rsidRPr="00162FFB" w14:paraId="58F02FCB" w14:textId="77777777" w:rsidTr="00CF02BC">
        <w:trPr>
          <w:trHeight w:val="189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38DB91BF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8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5A732E18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Possession Status Analysis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FBC232B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Buyer type vs possession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3F9DD0EF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Most HNI and CXO buyers prefer under-construction properties; NRIs prefer ready-to-move.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24653007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Offer customized communication—construction updates for HNI, virtual tours for NRIs.</w:t>
            </w:r>
          </w:p>
        </w:tc>
      </w:tr>
      <w:tr w:rsidR="00703D4E" w:rsidRPr="00162FFB" w14:paraId="7FA68844" w14:textId="77777777" w:rsidTr="00CF02BC">
        <w:trPr>
          <w:trHeight w:val="143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116661E1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9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1FC5B421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Geographical Insights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E9C2316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Map of project distribution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46FAFFAC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Luxury projects are concentrated in central and eastern Bangalore (Whitefield, Domlur, Bellary Rd).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262F4CEB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Expand into untapped western zones with rising infrastructure growth.</w:t>
            </w:r>
          </w:p>
        </w:tc>
      </w:tr>
      <w:tr w:rsidR="00703D4E" w:rsidRPr="00162FFB" w14:paraId="14917D9D" w14:textId="77777777" w:rsidTr="00CF02BC">
        <w:trPr>
          <w:trHeight w:val="142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32C6A20C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10</w:t>
            </w:r>
          </w:p>
        </w:tc>
        <w:tc>
          <w:tcPr>
            <w:tcW w:w="18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09437E41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</w:rPr>
              <w:t>Top Performers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D4F398F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KPI of top 5 builders</w:t>
            </w:r>
          </w:p>
        </w:tc>
        <w:tc>
          <w:tcPr>
            <w:tcW w:w="4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63601AC2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Top 5 builders contribute over 60% of total revenue; avg success rate ~0.33–0.34.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33" w:type="dxa"/>
              <w:left w:w="65" w:type="dxa"/>
              <w:bottom w:w="33" w:type="dxa"/>
              <w:right w:w="65" w:type="dxa"/>
            </w:tcMar>
            <w:vAlign w:val="center"/>
            <w:hideMark/>
          </w:tcPr>
          <w:p w14:paraId="78EF6F65" w14:textId="77777777" w:rsidR="00703D4E" w:rsidRPr="00162FFB" w:rsidRDefault="00703D4E" w:rsidP="00CF02BC">
            <w:pPr>
              <w:spacing w:line="276" w:lineRule="auto"/>
            </w:pPr>
            <w:r>
              <w:rPr>
                <w:color w:val="000000" w:themeColor="text1"/>
                <w:kern w:val="24"/>
                <w:sz w:val="32"/>
                <w:szCs w:val="32"/>
                <w:lang w:val="en-US"/>
              </w:rPr>
              <w:t>Focus partnership ecosystem around these builders; track mid-tier growth opportunities.</w:t>
            </w:r>
          </w:p>
        </w:tc>
      </w:tr>
    </w:tbl>
    <w:p w14:paraId="5D059FC1" w14:textId="0D8EFF48" w:rsidR="00813A28" w:rsidRDefault="00162FFB" w:rsidP="00813A28">
      <w:r>
        <w:br w:type="page"/>
      </w:r>
    </w:p>
    <w:p w14:paraId="6734FEFD" w14:textId="584CBB6A" w:rsidR="00813A28" w:rsidRPr="0061252B" w:rsidRDefault="0061252B" w:rsidP="00813A28">
      <w:pPr>
        <w:jc w:val="center"/>
        <w:rPr>
          <w:rFonts w:asciiTheme="majorHAnsi" w:hAnsiTheme="majorHAnsi" w:cstheme="majorHAnsi"/>
          <w:b/>
          <w:bCs/>
          <w:i/>
          <w:iCs/>
          <w:sz w:val="40"/>
          <w:szCs w:val="40"/>
        </w:rPr>
      </w:pPr>
      <w:r w:rsidRPr="0061252B">
        <w:rPr>
          <w:rFonts w:asciiTheme="majorHAnsi" w:hAnsiTheme="majorHAnsi" w:cstheme="majorHAnsi"/>
          <w:b/>
          <w:bCs/>
          <w:i/>
          <w:iCs/>
          <w:sz w:val="40"/>
          <w:szCs w:val="40"/>
        </w:rPr>
        <w:lastRenderedPageBreak/>
        <w:t>BUSINESS RECOMMENDATIONS</w:t>
      </w:r>
    </w:p>
    <w:p w14:paraId="36931F5B" w14:textId="6329FE17" w:rsidR="00703D4E" w:rsidRPr="00703D4E" w:rsidRDefault="00703D4E" w:rsidP="00703D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3D4E">
        <w:rPr>
          <w:rFonts w:ascii="Times New Roman" w:hAnsi="Times New Roman" w:cs="Times New Roman"/>
          <w:b/>
          <w:bCs/>
          <w:sz w:val="28"/>
          <w:szCs w:val="28"/>
        </w:rPr>
        <w:t>Enhance Amenity Offerings</w:t>
      </w:r>
    </w:p>
    <w:p w14:paraId="4526BCAD" w14:textId="77777777" w:rsidR="00703D4E" w:rsidRPr="00703D4E" w:rsidRDefault="00703D4E" w:rsidP="00813A28">
      <w:pPr>
        <w:pStyle w:val="ListParagraph"/>
        <w:numPr>
          <w:ilvl w:val="0"/>
          <w:numId w:val="17"/>
        </w:numPr>
        <w:ind w:left="1440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Insight Reference:</w:t>
      </w: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br/>
        <w:t>From the Amenity Impact scatter plot (</w:t>
      </w:r>
      <w:proofErr w:type="spellStart"/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Booking_Conversion_Rate</w:t>
      </w:r>
      <w:proofErr w:type="spellEnd"/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vs </w:t>
      </w:r>
      <w:proofErr w:type="spellStart"/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Amenity_Score</w:t>
      </w:r>
      <w:proofErr w:type="spellEnd"/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), projects with higher amenity scores — especially those developed by Embassy, Godrej, and Brigade — consistently achieved above-average booking success rates.</w:t>
      </w: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br/>
        <w:t>This indicates that amenity-rich environments drive emotional and aspirational value for luxury buyers.</w:t>
      </w:r>
    </w:p>
    <w:p w14:paraId="7A2111C9" w14:textId="77777777" w:rsidR="00703D4E" w:rsidRPr="00703D4E" w:rsidRDefault="00703D4E" w:rsidP="00813A28">
      <w:pPr>
        <w:pStyle w:val="ListParagraph"/>
        <w:numPr>
          <w:ilvl w:val="0"/>
          <w:numId w:val="17"/>
        </w:numPr>
        <w:ind w:left="1440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Strategic Actions:</w:t>
      </w:r>
    </w:p>
    <w:p w14:paraId="29EFC4C3" w14:textId="77777777" w:rsidR="00703D4E" w:rsidRDefault="00703D4E" w:rsidP="00813A28">
      <w:pPr>
        <w:pStyle w:val="ListParagraph"/>
        <w:ind w:left="1440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Expand high-impact amenities: Include EV charging stations, rooftop infinity pools, digital home automation, wellness </w:t>
      </w:r>
      <w:proofErr w:type="spellStart"/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centers</w:t>
      </w:r>
      <w:proofErr w:type="spellEnd"/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, and pet-friendly zones.</w:t>
      </w:r>
    </w:p>
    <w:p w14:paraId="2316CD2B" w14:textId="77777777" w:rsidR="00703D4E" w:rsidRDefault="00703D4E" w:rsidP="00813A28">
      <w:pPr>
        <w:pStyle w:val="ListParagraph"/>
        <w:ind w:left="1440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Focus on perceived luxury: Developers should emphasize experiential amenities such as concierge services, private clubhouses, and smart community apps in marketing.</w:t>
      </w:r>
    </w:p>
    <w:p w14:paraId="0EEE1659" w14:textId="72398100" w:rsidR="00703D4E" w:rsidRPr="00703D4E" w:rsidRDefault="00703D4E" w:rsidP="00813A28">
      <w:pPr>
        <w:pStyle w:val="ListParagraph"/>
        <w:ind w:left="1440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Use Power BI to monitor ROI: Track how new amenity additions impact future booking conversion in subsequent quarters through the live dashboard.</w:t>
      </w:r>
    </w:p>
    <w:p w14:paraId="5EDC1BBD" w14:textId="77777777" w:rsidR="00703D4E" w:rsidRPr="00703D4E" w:rsidRDefault="00703D4E" w:rsidP="00813A28">
      <w:pPr>
        <w:pStyle w:val="ListParagraph"/>
        <w:numPr>
          <w:ilvl w:val="0"/>
          <w:numId w:val="17"/>
        </w:numPr>
        <w:ind w:left="1440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Expected Outcome:</w:t>
      </w:r>
      <w:r w:rsidRPr="00703D4E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br/>
        <w:t>A 5–10% improvement in conversion rates and stronger premium perception, especially in high-income buyer segments (HNI, CXO).</w:t>
      </w:r>
    </w:p>
    <w:p w14:paraId="3D20FF79" w14:textId="5B046E7A" w:rsidR="00703D4E" w:rsidRPr="00703D4E" w:rsidRDefault="00703D4E" w:rsidP="00703D4E">
      <w:pPr>
        <w:rPr>
          <w:rFonts w:ascii="Times New Roman" w:hAnsi="Times New Roman" w:cs="Times New Roman"/>
          <w:sz w:val="28"/>
          <w:szCs w:val="28"/>
        </w:rPr>
      </w:pPr>
    </w:p>
    <w:p w14:paraId="35F58852" w14:textId="23B23B03" w:rsidR="00703D4E" w:rsidRPr="00703D4E" w:rsidRDefault="00703D4E" w:rsidP="00703D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03D4E">
        <w:rPr>
          <w:rFonts w:ascii="Times New Roman" w:hAnsi="Times New Roman" w:cs="Times New Roman"/>
          <w:b/>
          <w:bCs/>
          <w:sz w:val="28"/>
          <w:szCs w:val="28"/>
        </w:rPr>
        <w:t>Micro-Market Prioritization</w:t>
      </w:r>
    </w:p>
    <w:p w14:paraId="277B7095" w14:textId="77777777" w:rsidR="00703D4E" w:rsidRPr="00813A28" w:rsidRDefault="00703D4E" w:rsidP="00813A28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Insight Reference:</w:t>
      </w:r>
      <w:r w:rsidRPr="00813A28">
        <w:rPr>
          <w:rFonts w:ascii="Times New Roman" w:hAnsi="Times New Roman" w:cs="Times New Roman"/>
          <w:sz w:val="28"/>
          <w:szCs w:val="28"/>
        </w:rPr>
        <w:br/>
        <w:t xml:space="preserve">From the Market Trends line chart, Bellary Road, Domlur, and Whitefield show steady quarter-over-quarter growth in booking counts, while </w:t>
      </w:r>
      <w:proofErr w:type="spellStart"/>
      <w:r w:rsidRPr="00813A28">
        <w:rPr>
          <w:rFonts w:ascii="Times New Roman" w:hAnsi="Times New Roman" w:cs="Times New Roman"/>
          <w:sz w:val="28"/>
          <w:szCs w:val="28"/>
        </w:rPr>
        <w:t>Bannergatta</w:t>
      </w:r>
      <w:proofErr w:type="spellEnd"/>
      <w:r w:rsidRPr="00813A28">
        <w:rPr>
          <w:rFonts w:ascii="Times New Roman" w:hAnsi="Times New Roman" w:cs="Times New Roman"/>
          <w:sz w:val="28"/>
          <w:szCs w:val="28"/>
        </w:rPr>
        <w:t xml:space="preserve"> Road and Hebbal show high volatility.</w:t>
      </w:r>
    </w:p>
    <w:p w14:paraId="459ABFD9" w14:textId="77777777" w:rsidR="00703D4E" w:rsidRPr="00813A28" w:rsidRDefault="00703D4E" w:rsidP="00813A28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Strategic Actions:</w:t>
      </w:r>
    </w:p>
    <w:p w14:paraId="5CBEB8C1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Reallocate marketing budgets toward top-performing micro-markets with consistent upward booking trends.</w:t>
      </w:r>
    </w:p>
    <w:p w14:paraId="1BC2A48C" w14:textId="2FAAB3BC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Cluster-based campaign planning: Launch location-specific digital campaigns highlighting nearby landmarks, schools, and corporate zones.</w:t>
      </w:r>
    </w:p>
    <w:p w14:paraId="152F5FEF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Saturation monitoring: Use Power BI’s trend lines to detect when a micro-market reaches maturity and begin identifying the next emerging zone.</w:t>
      </w:r>
    </w:p>
    <w:p w14:paraId="70B8A902" w14:textId="76003A7C" w:rsidR="00703D4E" w:rsidRDefault="00703D4E" w:rsidP="00813A28">
      <w:pPr>
        <w:pStyle w:val="ListParagraph"/>
        <w:numPr>
          <w:ilvl w:val="0"/>
          <w:numId w:val="18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lastRenderedPageBreak/>
        <w:t>Expected Outcome:</w:t>
      </w:r>
      <w:r w:rsidRPr="00813A28">
        <w:rPr>
          <w:rFonts w:ascii="Times New Roman" w:hAnsi="Times New Roman" w:cs="Times New Roman"/>
          <w:sz w:val="28"/>
          <w:szCs w:val="28"/>
        </w:rPr>
        <w:br/>
        <w:t>Improved marketing efficiency (ROI) and higher absorption rates in high-demand zones.</w:t>
      </w:r>
    </w:p>
    <w:p w14:paraId="3B87E130" w14:textId="77777777" w:rsidR="00813A28" w:rsidRPr="00813A28" w:rsidRDefault="00813A28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7AB45ED2" w14:textId="055C0476" w:rsidR="00703D4E" w:rsidRPr="00813A28" w:rsidRDefault="00703D4E" w:rsidP="00813A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3A28">
        <w:rPr>
          <w:rFonts w:ascii="Times New Roman" w:hAnsi="Times New Roman" w:cs="Times New Roman"/>
          <w:b/>
          <w:bCs/>
          <w:sz w:val="28"/>
          <w:szCs w:val="28"/>
        </w:rPr>
        <w:t>Channel Optimization</w:t>
      </w:r>
    </w:p>
    <w:p w14:paraId="74A6A635" w14:textId="77777777" w:rsidR="00703D4E" w:rsidRPr="00813A28" w:rsidRDefault="00703D4E" w:rsidP="00813A28">
      <w:pPr>
        <w:pStyle w:val="ListParagraph"/>
        <w:numPr>
          <w:ilvl w:val="0"/>
          <w:numId w:val="1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Insight Reference:</w:t>
      </w:r>
      <w:r w:rsidRPr="00813A28">
        <w:rPr>
          <w:rFonts w:ascii="Times New Roman" w:hAnsi="Times New Roman" w:cs="Times New Roman"/>
          <w:sz w:val="28"/>
          <w:szCs w:val="28"/>
        </w:rPr>
        <w:br/>
        <w:t>The Sales Channel Efficiency visualization shows Broker and Direct channels contributing the majority of successful bookings, while NRI Desk conversions are comparatively lower.</w:t>
      </w:r>
    </w:p>
    <w:p w14:paraId="38432C46" w14:textId="77777777" w:rsidR="00703D4E" w:rsidRPr="00813A28" w:rsidRDefault="00703D4E" w:rsidP="00813A28">
      <w:pPr>
        <w:pStyle w:val="ListParagraph"/>
        <w:numPr>
          <w:ilvl w:val="0"/>
          <w:numId w:val="1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Strategic Actions:</w:t>
      </w:r>
    </w:p>
    <w:p w14:paraId="04065E5D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Enhance NRI sales experience: Implement seamless digital booking and virtual site visits to improve the NRI Desk’s conversion ratio.</w:t>
      </w:r>
    </w:p>
    <w:p w14:paraId="035EBC9A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Leverage data-driven advertising: Use lead scoring and predictive analytics to identify high-probability prospects from online channels.</w:t>
      </w:r>
    </w:p>
    <w:p w14:paraId="647616DE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Broker empowerment: Offer brokers real-time Power BI snapshots of inventory, pricing, and lead progress to speed up deals.</w:t>
      </w:r>
    </w:p>
    <w:p w14:paraId="215821F6" w14:textId="77777777" w:rsidR="00703D4E" w:rsidRPr="00813A28" w:rsidRDefault="00703D4E" w:rsidP="00813A28">
      <w:pPr>
        <w:pStyle w:val="ListParagraph"/>
        <w:numPr>
          <w:ilvl w:val="0"/>
          <w:numId w:val="19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Expected Outcome:</w:t>
      </w:r>
      <w:r w:rsidRPr="00813A28">
        <w:rPr>
          <w:rFonts w:ascii="Times New Roman" w:hAnsi="Times New Roman" w:cs="Times New Roman"/>
          <w:sz w:val="28"/>
          <w:szCs w:val="28"/>
        </w:rPr>
        <w:br/>
        <w:t>Boost in overall conversion efficiency by 8–12% and reduction in lead-to-booking time across all channels.</w:t>
      </w:r>
    </w:p>
    <w:p w14:paraId="4D1B8FA4" w14:textId="55692B51" w:rsidR="00703D4E" w:rsidRPr="00703D4E" w:rsidRDefault="00703D4E" w:rsidP="00703D4E">
      <w:pPr>
        <w:rPr>
          <w:rFonts w:ascii="Times New Roman" w:hAnsi="Times New Roman" w:cs="Times New Roman"/>
          <w:sz w:val="28"/>
          <w:szCs w:val="28"/>
        </w:rPr>
      </w:pPr>
    </w:p>
    <w:p w14:paraId="3562660A" w14:textId="07F6C059" w:rsidR="00703D4E" w:rsidRPr="00703D4E" w:rsidRDefault="00703D4E" w:rsidP="00813A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b/>
          <w:bCs/>
          <w:sz w:val="28"/>
          <w:szCs w:val="28"/>
        </w:rPr>
        <w:t>Builder Partnerships</w:t>
      </w:r>
    </w:p>
    <w:p w14:paraId="1AF150D9" w14:textId="77777777" w:rsidR="00703D4E" w:rsidRPr="00813A28" w:rsidRDefault="00703D4E" w:rsidP="00813A28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Insight Reference:</w:t>
      </w:r>
      <w:r w:rsidRPr="00813A28">
        <w:rPr>
          <w:rFonts w:ascii="Times New Roman" w:hAnsi="Times New Roman" w:cs="Times New Roman"/>
          <w:sz w:val="28"/>
          <w:szCs w:val="28"/>
        </w:rPr>
        <w:br/>
        <w:t>The Builder Performance and Top Performers visuals show that Prestige, L&amp;T Realty, Sobha, Brigade, Embassy collectively contribute over 60% of total ticket sales and maintain booking success rates around 33–34%.</w:t>
      </w:r>
    </w:p>
    <w:p w14:paraId="36B745B0" w14:textId="77777777" w:rsidR="00703D4E" w:rsidRPr="00813A28" w:rsidRDefault="00703D4E" w:rsidP="00813A28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Strategic Actions:</w:t>
      </w:r>
    </w:p>
    <w:p w14:paraId="2FF934E6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Develop exclusive builder tie-ups: Launch co-branded campaigns or priority lead-sharing agreements with top developers.</w:t>
      </w:r>
    </w:p>
    <w:p w14:paraId="066F2BBB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Cross-promote successful builder projects: Feature their best-performing projects on high-visibility Power BI dashboards for leadership review.</w:t>
      </w:r>
    </w:p>
    <w:p w14:paraId="71ED660B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Support mid-tier builders: Offer strategic consulting to underperforming builders to improve amenity quality and pricing structures.</w:t>
      </w:r>
    </w:p>
    <w:p w14:paraId="3B70AE48" w14:textId="77777777" w:rsidR="00703D4E" w:rsidRPr="00813A28" w:rsidRDefault="00703D4E" w:rsidP="00813A28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lastRenderedPageBreak/>
        <w:t>Expected Outcome:</w:t>
      </w:r>
      <w:r w:rsidRPr="00813A28">
        <w:rPr>
          <w:rFonts w:ascii="Times New Roman" w:hAnsi="Times New Roman" w:cs="Times New Roman"/>
          <w:sz w:val="28"/>
          <w:szCs w:val="28"/>
        </w:rPr>
        <w:br/>
        <w:t>Sustained revenue stability from established builders and capacity growth from developing partners, ensuring long-term ecosystem balance.</w:t>
      </w:r>
    </w:p>
    <w:p w14:paraId="6CDAC46A" w14:textId="3EAFB48B" w:rsidR="00703D4E" w:rsidRPr="00703D4E" w:rsidRDefault="00703D4E" w:rsidP="00703D4E">
      <w:pPr>
        <w:rPr>
          <w:rFonts w:ascii="Times New Roman" w:hAnsi="Times New Roman" w:cs="Times New Roman"/>
          <w:sz w:val="28"/>
          <w:szCs w:val="28"/>
        </w:rPr>
      </w:pPr>
    </w:p>
    <w:p w14:paraId="1FAE028F" w14:textId="018FD84C" w:rsidR="00703D4E" w:rsidRPr="00813A28" w:rsidRDefault="00703D4E" w:rsidP="00813A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3A28">
        <w:rPr>
          <w:rFonts w:ascii="Times New Roman" w:hAnsi="Times New Roman" w:cs="Times New Roman"/>
          <w:b/>
          <w:bCs/>
          <w:sz w:val="28"/>
          <w:szCs w:val="28"/>
        </w:rPr>
        <w:t>Customer Segmentation</w:t>
      </w:r>
    </w:p>
    <w:p w14:paraId="71A4D8BA" w14:textId="77777777" w:rsidR="00703D4E" w:rsidRPr="00813A28" w:rsidRDefault="00703D4E" w:rsidP="00813A28">
      <w:pPr>
        <w:pStyle w:val="ListParagraph"/>
        <w:numPr>
          <w:ilvl w:val="0"/>
          <w:numId w:val="2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Insight Reference:</w:t>
      </w:r>
      <w:r w:rsidRPr="00813A28">
        <w:rPr>
          <w:rFonts w:ascii="Times New Roman" w:hAnsi="Times New Roman" w:cs="Times New Roman"/>
          <w:sz w:val="28"/>
          <w:szCs w:val="28"/>
        </w:rPr>
        <w:br/>
        <w:t>From the Possession Status Analysis, HNI and CXO buyers predominantly book under-construction projects, while NRIs lean toward ready-to-move properties.</w:t>
      </w:r>
    </w:p>
    <w:p w14:paraId="5C1B3AED" w14:textId="77777777" w:rsidR="00703D4E" w:rsidRPr="00813A28" w:rsidRDefault="00703D4E" w:rsidP="00813A28">
      <w:pPr>
        <w:pStyle w:val="ListParagraph"/>
        <w:numPr>
          <w:ilvl w:val="0"/>
          <w:numId w:val="2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Strategic Actions:</w:t>
      </w:r>
    </w:p>
    <w:p w14:paraId="1BB06A8B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Personalized marketing campaigns:</w:t>
      </w:r>
    </w:p>
    <w:p w14:paraId="59F4252B" w14:textId="77777777" w:rsidR="00703D4E" w:rsidRPr="00813A28" w:rsidRDefault="00703D4E" w:rsidP="00813A28">
      <w:pPr>
        <w:pStyle w:val="ListParagraph"/>
        <w:numPr>
          <w:ilvl w:val="1"/>
          <w:numId w:val="21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HNI/CXO segment: Offer early-bird pre-launch investment options, priority upgrades, and financing plans.</w:t>
      </w:r>
    </w:p>
    <w:p w14:paraId="0642D830" w14:textId="77777777" w:rsidR="00703D4E" w:rsidRPr="00813A28" w:rsidRDefault="00703D4E" w:rsidP="00813A28">
      <w:pPr>
        <w:pStyle w:val="ListParagraph"/>
        <w:numPr>
          <w:ilvl w:val="1"/>
          <w:numId w:val="21"/>
        </w:numPr>
        <w:ind w:left="180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NRI segment: Promote completed projects with hassle-free documentation and property management services.</w:t>
      </w:r>
    </w:p>
    <w:p w14:paraId="4D6C5CB0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Buyer-type dashboards: Use Power BI filters to track conversion rates segmented by buyer category and possession type.</w:t>
      </w:r>
    </w:p>
    <w:p w14:paraId="512CAF11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813A2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13A28">
        <w:rPr>
          <w:rFonts w:ascii="Times New Roman" w:hAnsi="Times New Roman" w:cs="Times New Roman"/>
          <w:sz w:val="28"/>
          <w:szCs w:val="28"/>
        </w:rPr>
        <w:t>-based follow-up automation: Integrate CRM systems to target specific buyer personas.</w:t>
      </w:r>
    </w:p>
    <w:p w14:paraId="3A4504EE" w14:textId="77777777" w:rsidR="00703D4E" w:rsidRPr="00813A28" w:rsidRDefault="00703D4E" w:rsidP="00813A28">
      <w:pPr>
        <w:pStyle w:val="ListParagraph"/>
        <w:numPr>
          <w:ilvl w:val="0"/>
          <w:numId w:val="21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Expected Outcome:</w:t>
      </w:r>
      <w:r w:rsidRPr="00813A28">
        <w:rPr>
          <w:rFonts w:ascii="Times New Roman" w:hAnsi="Times New Roman" w:cs="Times New Roman"/>
          <w:sz w:val="28"/>
          <w:szCs w:val="28"/>
        </w:rPr>
        <w:br/>
        <w:t>Enhanced customer satisfaction, higher lead retention, and optimized inventory turnover.</w:t>
      </w:r>
    </w:p>
    <w:p w14:paraId="04DAEB91" w14:textId="75AE0478" w:rsidR="00703D4E" w:rsidRPr="00703D4E" w:rsidRDefault="00703D4E" w:rsidP="00703D4E">
      <w:pPr>
        <w:rPr>
          <w:rFonts w:ascii="Times New Roman" w:hAnsi="Times New Roman" w:cs="Times New Roman"/>
          <w:sz w:val="28"/>
          <w:szCs w:val="28"/>
        </w:rPr>
      </w:pPr>
    </w:p>
    <w:p w14:paraId="5D8BC9A1" w14:textId="47FA06D1" w:rsidR="00703D4E" w:rsidRPr="00813A28" w:rsidRDefault="00703D4E" w:rsidP="00813A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3A28">
        <w:rPr>
          <w:rFonts w:ascii="Times New Roman" w:hAnsi="Times New Roman" w:cs="Times New Roman"/>
          <w:b/>
          <w:bCs/>
          <w:sz w:val="28"/>
          <w:szCs w:val="28"/>
        </w:rPr>
        <w:t>Pricing Strategy</w:t>
      </w:r>
    </w:p>
    <w:p w14:paraId="56C308EB" w14:textId="77777777" w:rsidR="00703D4E" w:rsidRPr="00813A28" w:rsidRDefault="00703D4E" w:rsidP="00813A28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Insight Reference:</w:t>
      </w:r>
      <w:r w:rsidRPr="00813A28">
        <w:rPr>
          <w:rFonts w:ascii="Times New Roman" w:hAnsi="Times New Roman" w:cs="Times New Roman"/>
          <w:sz w:val="28"/>
          <w:szCs w:val="28"/>
        </w:rPr>
        <w:br/>
        <w:t>The Builder Performance visual indicates average ticket prices between ₹12.6–₹12.8 Cr, suggesting a price plateau. However, certain builders sustain strong sales at the higher end of the spectrum.</w:t>
      </w:r>
    </w:p>
    <w:p w14:paraId="1339FAA3" w14:textId="77777777" w:rsidR="00703D4E" w:rsidRPr="00813A28" w:rsidRDefault="00703D4E" w:rsidP="00813A28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Strategic Actions:</w:t>
      </w:r>
    </w:p>
    <w:p w14:paraId="3250FBD5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Introduce value-based pricing tiers: Offer modular pricing — e.g., “Luxury Essentials” vs “Luxury Premium.”</w:t>
      </w:r>
    </w:p>
    <w:p w14:paraId="67D9F231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Incorporate flexible payment plans: Early bird offers or possession-linked plans to reduce buyer hesitation.</w:t>
      </w:r>
    </w:p>
    <w:p w14:paraId="2F2D3D82" w14:textId="77777777" w:rsidR="00703D4E" w:rsidRPr="00813A28" w:rsidRDefault="00703D4E" w:rsidP="00813A28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Monitor price elasticity: Use Power BI to visualize the relationship between pricing changes and booking conversions over time.</w:t>
      </w:r>
    </w:p>
    <w:p w14:paraId="759D79CB" w14:textId="77777777" w:rsidR="00703D4E" w:rsidRPr="00813A28" w:rsidRDefault="00703D4E" w:rsidP="00813A28">
      <w:pPr>
        <w:pStyle w:val="ListParagraph"/>
        <w:numPr>
          <w:ilvl w:val="0"/>
          <w:numId w:val="22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lastRenderedPageBreak/>
        <w:t>Expected Outcome:</w:t>
      </w:r>
      <w:r w:rsidRPr="00813A28">
        <w:rPr>
          <w:rFonts w:ascii="Times New Roman" w:hAnsi="Times New Roman" w:cs="Times New Roman"/>
          <w:sz w:val="28"/>
          <w:szCs w:val="28"/>
        </w:rPr>
        <w:br/>
        <w:t>Improved price competitiveness without diluting brand value; ability to maintain average ticket size while expanding buyer base.</w:t>
      </w:r>
    </w:p>
    <w:p w14:paraId="35564B38" w14:textId="2FEE76D7" w:rsidR="00703D4E" w:rsidRPr="00703D4E" w:rsidRDefault="00703D4E" w:rsidP="00703D4E">
      <w:pPr>
        <w:rPr>
          <w:rFonts w:ascii="Times New Roman" w:hAnsi="Times New Roman" w:cs="Times New Roman"/>
          <w:sz w:val="28"/>
          <w:szCs w:val="28"/>
        </w:rPr>
      </w:pPr>
    </w:p>
    <w:p w14:paraId="4A908187" w14:textId="57DA946A" w:rsidR="00703D4E" w:rsidRPr="00813A28" w:rsidRDefault="00703D4E" w:rsidP="00813A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3A28">
        <w:rPr>
          <w:rFonts w:ascii="Times New Roman" w:hAnsi="Times New Roman" w:cs="Times New Roman"/>
          <w:b/>
          <w:bCs/>
          <w:sz w:val="28"/>
          <w:szCs w:val="28"/>
        </w:rPr>
        <w:t>Expansion Strategy</w:t>
      </w:r>
    </w:p>
    <w:p w14:paraId="24C5FE3F" w14:textId="77777777" w:rsidR="00703D4E" w:rsidRPr="00813A28" w:rsidRDefault="00703D4E" w:rsidP="00813A28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Insight Reference:</w:t>
      </w:r>
      <w:r w:rsidRPr="00813A28">
        <w:rPr>
          <w:rFonts w:ascii="Times New Roman" w:hAnsi="Times New Roman" w:cs="Times New Roman"/>
          <w:sz w:val="28"/>
          <w:szCs w:val="28"/>
        </w:rPr>
        <w:br/>
        <w:t>Geographical Insights reveal project clustering in Central and Eastern Bangalore (Whitefield, Domlur, Bellary Road). Western corridors show fewer but growing projects.</w:t>
      </w:r>
    </w:p>
    <w:p w14:paraId="5AB7876F" w14:textId="77777777" w:rsidR="00703D4E" w:rsidRPr="00813A28" w:rsidRDefault="00703D4E" w:rsidP="00813A28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Strategic Actions:</w:t>
      </w:r>
    </w:p>
    <w:p w14:paraId="4DD39147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 xml:space="preserve">Market feasibility studies in western Bangalore — areas like Mysore Road, </w:t>
      </w:r>
      <w:proofErr w:type="spellStart"/>
      <w:r w:rsidRPr="00813A28">
        <w:rPr>
          <w:rFonts w:ascii="Times New Roman" w:hAnsi="Times New Roman" w:cs="Times New Roman"/>
          <w:sz w:val="28"/>
          <w:szCs w:val="28"/>
        </w:rPr>
        <w:t>Nagarbhavi</w:t>
      </w:r>
      <w:proofErr w:type="spellEnd"/>
      <w:r w:rsidRPr="00813A28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813A28">
        <w:rPr>
          <w:rFonts w:ascii="Times New Roman" w:hAnsi="Times New Roman" w:cs="Times New Roman"/>
          <w:sz w:val="28"/>
          <w:szCs w:val="28"/>
        </w:rPr>
        <w:t>Peenya</w:t>
      </w:r>
      <w:proofErr w:type="spellEnd"/>
      <w:r w:rsidRPr="00813A28">
        <w:rPr>
          <w:rFonts w:ascii="Times New Roman" w:hAnsi="Times New Roman" w:cs="Times New Roman"/>
          <w:sz w:val="28"/>
          <w:szCs w:val="28"/>
        </w:rPr>
        <w:t xml:space="preserve"> — for new luxury project launches.</w:t>
      </w:r>
    </w:p>
    <w:p w14:paraId="48793678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Infrastructure-driven expansion: Target micro-markets benefiting from upcoming metro connectivity and expressways.</w:t>
      </w:r>
    </w:p>
    <w:p w14:paraId="6D2B8616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Diversify portfolio: Introduce hybrid projects (luxury + sustainable housing) to attract new demographics.</w:t>
      </w:r>
    </w:p>
    <w:p w14:paraId="39C3FACB" w14:textId="77777777" w:rsidR="00703D4E" w:rsidRPr="00813A28" w:rsidRDefault="00703D4E" w:rsidP="00813A28">
      <w:pPr>
        <w:pStyle w:val="ListParagraph"/>
        <w:numPr>
          <w:ilvl w:val="0"/>
          <w:numId w:val="23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Expected Outcome:</w:t>
      </w:r>
      <w:r w:rsidRPr="00813A28">
        <w:rPr>
          <w:rFonts w:ascii="Times New Roman" w:hAnsi="Times New Roman" w:cs="Times New Roman"/>
          <w:sz w:val="28"/>
          <w:szCs w:val="28"/>
        </w:rPr>
        <w:br/>
        <w:t>Geographic diversification leading to 10–15% incremental market share growth over 2 years.</w:t>
      </w:r>
    </w:p>
    <w:p w14:paraId="2E7920E1" w14:textId="6A51EAB2" w:rsidR="00703D4E" w:rsidRPr="00703D4E" w:rsidRDefault="00703D4E" w:rsidP="00703D4E">
      <w:pPr>
        <w:rPr>
          <w:rFonts w:ascii="Times New Roman" w:hAnsi="Times New Roman" w:cs="Times New Roman"/>
          <w:sz w:val="28"/>
          <w:szCs w:val="28"/>
        </w:rPr>
      </w:pPr>
    </w:p>
    <w:p w14:paraId="77EF1720" w14:textId="37902134" w:rsidR="00703D4E" w:rsidRPr="00813A28" w:rsidRDefault="00703D4E" w:rsidP="00813A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3A28">
        <w:rPr>
          <w:rFonts w:ascii="Times New Roman" w:hAnsi="Times New Roman" w:cs="Times New Roman"/>
          <w:b/>
          <w:bCs/>
          <w:sz w:val="28"/>
          <w:szCs w:val="28"/>
        </w:rPr>
        <w:t>Quarterly Monitoring Framework</w:t>
      </w:r>
    </w:p>
    <w:p w14:paraId="2A571A17" w14:textId="77777777" w:rsidR="00703D4E" w:rsidRPr="00813A28" w:rsidRDefault="00703D4E" w:rsidP="00813A28">
      <w:pPr>
        <w:pStyle w:val="ListParagraph"/>
        <w:numPr>
          <w:ilvl w:val="0"/>
          <w:numId w:val="24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Insight Reference:</w:t>
      </w:r>
      <w:r w:rsidRPr="00813A28">
        <w:rPr>
          <w:rFonts w:ascii="Times New Roman" w:hAnsi="Times New Roman" w:cs="Times New Roman"/>
          <w:sz w:val="28"/>
          <w:szCs w:val="28"/>
        </w:rPr>
        <w:br/>
        <w:t>The Quarterly Builder Contribution matrix and Market Trends line chart show strong quarterly variations, highlighting the importance of continuous performance tracking.</w:t>
      </w:r>
    </w:p>
    <w:p w14:paraId="6A90BABF" w14:textId="77777777" w:rsidR="00703D4E" w:rsidRPr="00813A28" w:rsidRDefault="00703D4E" w:rsidP="00813A28">
      <w:pPr>
        <w:pStyle w:val="ListParagraph"/>
        <w:numPr>
          <w:ilvl w:val="0"/>
          <w:numId w:val="24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Strategic Actions:</w:t>
      </w:r>
    </w:p>
    <w:p w14:paraId="4D591BC9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Maintain live PostgreSQL–Power BI integration to monitor real-time revenue and booking data.</w:t>
      </w:r>
    </w:p>
    <w:p w14:paraId="6E8BC529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Create quarterly review dashboards for builder contributions, channel efficiency, and amenity ROI.</w:t>
      </w:r>
    </w:p>
    <w:p w14:paraId="03179941" w14:textId="77777777" w:rsidR="00703D4E" w:rsidRPr="00813A28" w:rsidRDefault="00703D4E" w:rsidP="00813A2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Set dynamic KPIs: Automate alerts for underperforming builders or regions through Power BI’s data-driven triggers.</w:t>
      </w:r>
    </w:p>
    <w:p w14:paraId="225C15C0" w14:textId="2E1B15F1" w:rsidR="00463E0E" w:rsidRPr="00D177DA" w:rsidRDefault="00703D4E" w:rsidP="00D177DA">
      <w:pPr>
        <w:pStyle w:val="ListParagraph"/>
        <w:numPr>
          <w:ilvl w:val="0"/>
          <w:numId w:val="24"/>
        </w:numPr>
        <w:ind w:left="1440"/>
        <w:rPr>
          <w:rFonts w:ascii="Times New Roman" w:hAnsi="Times New Roman" w:cs="Times New Roman"/>
          <w:sz w:val="28"/>
          <w:szCs w:val="28"/>
        </w:rPr>
      </w:pPr>
      <w:r w:rsidRPr="00813A28">
        <w:rPr>
          <w:rFonts w:ascii="Times New Roman" w:hAnsi="Times New Roman" w:cs="Times New Roman"/>
          <w:sz w:val="28"/>
          <w:szCs w:val="28"/>
        </w:rPr>
        <w:t>Expected Outcome:</w:t>
      </w:r>
      <w:r w:rsidRPr="00813A28">
        <w:rPr>
          <w:rFonts w:ascii="Times New Roman" w:hAnsi="Times New Roman" w:cs="Times New Roman"/>
          <w:sz w:val="28"/>
          <w:szCs w:val="28"/>
        </w:rPr>
        <w:br/>
        <w:t>Improved data agility, faster decision-making, and early risk detection — ensuring responsive strategy adjustments per quarter.</w:t>
      </w:r>
    </w:p>
    <w:sectPr w:rsidR="00463E0E" w:rsidRPr="00D177DA" w:rsidSect="00D177DA">
      <w:pgSz w:w="16838" w:h="11906" w:orient="landscape"/>
      <w:pgMar w:top="1134" w:right="567" w:bottom="0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A947" w14:textId="77777777" w:rsidR="000D5BF9" w:rsidRDefault="000D5BF9" w:rsidP="0069334F">
      <w:pPr>
        <w:spacing w:after="0" w:line="240" w:lineRule="auto"/>
      </w:pPr>
      <w:r>
        <w:separator/>
      </w:r>
    </w:p>
  </w:endnote>
  <w:endnote w:type="continuationSeparator" w:id="0">
    <w:p w14:paraId="56A62A30" w14:textId="77777777" w:rsidR="000D5BF9" w:rsidRDefault="000D5BF9" w:rsidP="00693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A2DA5" w14:textId="77777777" w:rsidR="000D5BF9" w:rsidRDefault="000D5BF9" w:rsidP="0069334F">
      <w:pPr>
        <w:spacing w:after="0" w:line="240" w:lineRule="auto"/>
      </w:pPr>
      <w:r>
        <w:separator/>
      </w:r>
    </w:p>
  </w:footnote>
  <w:footnote w:type="continuationSeparator" w:id="0">
    <w:p w14:paraId="0E99E7C1" w14:textId="77777777" w:rsidR="000D5BF9" w:rsidRDefault="000D5BF9" w:rsidP="00693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B58"/>
    <w:multiLevelType w:val="multilevel"/>
    <w:tmpl w:val="F21C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7B62"/>
    <w:multiLevelType w:val="hybridMultilevel"/>
    <w:tmpl w:val="6896D28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C4019D"/>
    <w:multiLevelType w:val="multilevel"/>
    <w:tmpl w:val="3E1E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67F5"/>
    <w:multiLevelType w:val="multilevel"/>
    <w:tmpl w:val="049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940E7"/>
    <w:multiLevelType w:val="hybridMultilevel"/>
    <w:tmpl w:val="2A44BA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10435"/>
    <w:multiLevelType w:val="hybridMultilevel"/>
    <w:tmpl w:val="0EAAD84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E0E42"/>
    <w:multiLevelType w:val="multilevel"/>
    <w:tmpl w:val="42A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53CB6"/>
    <w:multiLevelType w:val="hybridMultilevel"/>
    <w:tmpl w:val="BBDEB1E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95C0E"/>
    <w:multiLevelType w:val="hybridMultilevel"/>
    <w:tmpl w:val="9A30A0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627F9"/>
    <w:multiLevelType w:val="multilevel"/>
    <w:tmpl w:val="8E1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40F5D"/>
    <w:multiLevelType w:val="multilevel"/>
    <w:tmpl w:val="1CA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8552B"/>
    <w:multiLevelType w:val="multilevel"/>
    <w:tmpl w:val="AEE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74105"/>
    <w:multiLevelType w:val="multilevel"/>
    <w:tmpl w:val="29B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656C3"/>
    <w:multiLevelType w:val="hybridMultilevel"/>
    <w:tmpl w:val="840C445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139AD"/>
    <w:multiLevelType w:val="hybridMultilevel"/>
    <w:tmpl w:val="B904835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2E6CB1"/>
    <w:multiLevelType w:val="hybridMultilevel"/>
    <w:tmpl w:val="268646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1774B"/>
    <w:multiLevelType w:val="multilevel"/>
    <w:tmpl w:val="A07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40D56"/>
    <w:multiLevelType w:val="hybridMultilevel"/>
    <w:tmpl w:val="27703E8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C465D9"/>
    <w:multiLevelType w:val="hybridMultilevel"/>
    <w:tmpl w:val="7FF2F5C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DB69BE"/>
    <w:multiLevelType w:val="multilevel"/>
    <w:tmpl w:val="E1F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63C4D"/>
    <w:multiLevelType w:val="multilevel"/>
    <w:tmpl w:val="0A4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51829"/>
    <w:multiLevelType w:val="hybridMultilevel"/>
    <w:tmpl w:val="070EE3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669A7"/>
    <w:multiLevelType w:val="multilevel"/>
    <w:tmpl w:val="D63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7728A"/>
    <w:multiLevelType w:val="multilevel"/>
    <w:tmpl w:val="EB3C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302771">
    <w:abstractNumId w:val="3"/>
  </w:num>
  <w:num w:numId="2" w16cid:durableId="1542014331">
    <w:abstractNumId w:val="10"/>
  </w:num>
  <w:num w:numId="3" w16cid:durableId="1922518146">
    <w:abstractNumId w:val="11"/>
  </w:num>
  <w:num w:numId="4" w16cid:durableId="270405979">
    <w:abstractNumId w:val="16"/>
  </w:num>
  <w:num w:numId="5" w16cid:durableId="54745436">
    <w:abstractNumId w:val="23"/>
  </w:num>
  <w:num w:numId="6" w16cid:durableId="1240218161">
    <w:abstractNumId w:val="9"/>
  </w:num>
  <w:num w:numId="7" w16cid:durableId="1383868163">
    <w:abstractNumId w:val="6"/>
  </w:num>
  <w:num w:numId="8" w16cid:durableId="747923366">
    <w:abstractNumId w:val="12"/>
  </w:num>
  <w:num w:numId="9" w16cid:durableId="979261501">
    <w:abstractNumId w:val="0"/>
  </w:num>
  <w:num w:numId="10" w16cid:durableId="15351357">
    <w:abstractNumId w:val="22"/>
  </w:num>
  <w:num w:numId="11" w16cid:durableId="1240825186">
    <w:abstractNumId w:val="20"/>
  </w:num>
  <w:num w:numId="12" w16cid:durableId="1167289778">
    <w:abstractNumId w:val="19"/>
  </w:num>
  <w:num w:numId="13" w16cid:durableId="1116027511">
    <w:abstractNumId w:val="2"/>
  </w:num>
  <w:num w:numId="14" w16cid:durableId="1774401955">
    <w:abstractNumId w:val="15"/>
  </w:num>
  <w:num w:numId="15" w16cid:durableId="602690751">
    <w:abstractNumId w:val="21"/>
  </w:num>
  <w:num w:numId="16" w16cid:durableId="1801918322">
    <w:abstractNumId w:val="4"/>
  </w:num>
  <w:num w:numId="17" w16cid:durableId="1616251019">
    <w:abstractNumId w:val="17"/>
  </w:num>
  <w:num w:numId="18" w16cid:durableId="1987272905">
    <w:abstractNumId w:val="18"/>
  </w:num>
  <w:num w:numId="19" w16cid:durableId="973415404">
    <w:abstractNumId w:val="13"/>
  </w:num>
  <w:num w:numId="20" w16cid:durableId="796529742">
    <w:abstractNumId w:val="5"/>
  </w:num>
  <w:num w:numId="21" w16cid:durableId="340205497">
    <w:abstractNumId w:val="7"/>
  </w:num>
  <w:num w:numId="22" w16cid:durableId="495339802">
    <w:abstractNumId w:val="8"/>
  </w:num>
  <w:num w:numId="23" w16cid:durableId="881289161">
    <w:abstractNumId w:val="14"/>
  </w:num>
  <w:num w:numId="24" w16cid:durableId="1491021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16"/>
    <w:rsid w:val="000D5BF9"/>
    <w:rsid w:val="00162FFB"/>
    <w:rsid w:val="0022523F"/>
    <w:rsid w:val="002F7B77"/>
    <w:rsid w:val="00463E0E"/>
    <w:rsid w:val="005050C4"/>
    <w:rsid w:val="0061252B"/>
    <w:rsid w:val="0069334F"/>
    <w:rsid w:val="00703D4E"/>
    <w:rsid w:val="008079F0"/>
    <w:rsid w:val="00813A28"/>
    <w:rsid w:val="00897A22"/>
    <w:rsid w:val="009A303E"/>
    <w:rsid w:val="00A432CD"/>
    <w:rsid w:val="00B41616"/>
    <w:rsid w:val="00B451DF"/>
    <w:rsid w:val="00CE4F46"/>
    <w:rsid w:val="00D177DA"/>
    <w:rsid w:val="00E9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211C2"/>
  <w15:chartTrackingRefBased/>
  <w15:docId w15:val="{A2DA0B32-5D8C-47A1-9A78-A327D314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FFB"/>
  </w:style>
  <w:style w:type="paragraph" w:styleId="Heading1">
    <w:name w:val="heading 1"/>
    <w:basedOn w:val="Normal"/>
    <w:next w:val="Normal"/>
    <w:link w:val="Heading1Char"/>
    <w:uiPriority w:val="9"/>
    <w:qFormat/>
    <w:rsid w:val="00B4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1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1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1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4161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4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34F"/>
  </w:style>
  <w:style w:type="paragraph" w:styleId="Footer">
    <w:name w:val="footer"/>
    <w:basedOn w:val="Normal"/>
    <w:link w:val="FooterChar"/>
    <w:uiPriority w:val="99"/>
    <w:unhideWhenUsed/>
    <w:rsid w:val="00693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34F"/>
  </w:style>
  <w:style w:type="character" w:styleId="Strong">
    <w:name w:val="Strong"/>
    <w:basedOn w:val="DefaultParagraphFont"/>
    <w:uiPriority w:val="22"/>
    <w:qFormat/>
    <w:rsid w:val="00703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S S</dc:creator>
  <cp:keywords/>
  <dc:description/>
  <cp:lastModifiedBy>Shankar S S</cp:lastModifiedBy>
  <cp:revision>6</cp:revision>
  <dcterms:created xsi:type="dcterms:W3CDTF">2025-11-02T09:06:00Z</dcterms:created>
  <dcterms:modified xsi:type="dcterms:W3CDTF">2025-11-02T10:45:00Z</dcterms:modified>
</cp:coreProperties>
</file>