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0BC567" w14:textId="20F06CF4" w:rsidR="000414A4" w:rsidRPr="00BB4434" w:rsidRDefault="000414A4" w:rsidP="00E33A8F">
      <w:pPr>
        <w:ind w:left="-720" w:right="-720" w:firstLine="720"/>
        <w:rPr>
          <w:b/>
          <w:sz w:val="16"/>
          <w:szCs w:val="16"/>
        </w:rPr>
      </w:pPr>
      <w:r w:rsidRPr="00BB4434">
        <w:rPr>
          <w:b/>
          <w:sz w:val="16"/>
          <w:szCs w:val="16"/>
        </w:rPr>
        <w:t>To: MIDS W201 RDADA Class</w:t>
      </w:r>
      <w:r w:rsidR="00E33A8F" w:rsidRPr="00BB4434">
        <w:rPr>
          <w:b/>
          <w:sz w:val="16"/>
          <w:szCs w:val="16"/>
        </w:rPr>
        <w:t>, Section 5</w:t>
      </w:r>
    </w:p>
    <w:p w14:paraId="066E3EDC" w14:textId="56CEA9D6" w:rsidR="000414A4" w:rsidRPr="00BB4434" w:rsidRDefault="000414A4">
      <w:pPr>
        <w:rPr>
          <w:b/>
          <w:sz w:val="16"/>
          <w:szCs w:val="16"/>
        </w:rPr>
      </w:pPr>
      <w:r w:rsidRPr="00BB4434">
        <w:rPr>
          <w:b/>
          <w:sz w:val="16"/>
          <w:szCs w:val="16"/>
        </w:rPr>
        <w:t>From: Natarajan Shankar</w:t>
      </w:r>
    </w:p>
    <w:p w14:paraId="6A9F225C" w14:textId="75B478DA" w:rsidR="00805F1B" w:rsidRPr="00BB4434" w:rsidRDefault="000414A4">
      <w:pPr>
        <w:rPr>
          <w:b/>
          <w:sz w:val="16"/>
          <w:szCs w:val="16"/>
        </w:rPr>
      </w:pPr>
      <w:r w:rsidRPr="00BB4434">
        <w:rPr>
          <w:b/>
          <w:sz w:val="16"/>
          <w:szCs w:val="16"/>
        </w:rPr>
        <w:t>Date: July 11, 2016</w:t>
      </w:r>
    </w:p>
    <w:p w14:paraId="7D9BF8CE" w14:textId="315FD968" w:rsidR="000414A4" w:rsidRPr="00BB4434" w:rsidRDefault="007E6719">
      <w:pPr>
        <w:rPr>
          <w:b/>
          <w:sz w:val="16"/>
          <w:szCs w:val="16"/>
        </w:rPr>
      </w:pPr>
      <w:r w:rsidRPr="00BB4434">
        <w:rPr>
          <w:b/>
          <w:sz w:val="16"/>
          <w:szCs w:val="16"/>
        </w:rPr>
        <w:t xml:space="preserve">Subject: Contrasting </w:t>
      </w:r>
      <w:r w:rsidR="008945C3" w:rsidRPr="00BB4434">
        <w:rPr>
          <w:b/>
          <w:sz w:val="16"/>
          <w:szCs w:val="16"/>
        </w:rPr>
        <w:t>two visual</w:t>
      </w:r>
      <w:r w:rsidR="000414A4" w:rsidRPr="00BB4434">
        <w:rPr>
          <w:b/>
          <w:sz w:val="16"/>
          <w:szCs w:val="16"/>
        </w:rPr>
        <w:t xml:space="preserve"> presenta</w:t>
      </w:r>
      <w:r w:rsidR="00120FDE" w:rsidRPr="00BB4434">
        <w:rPr>
          <w:b/>
          <w:sz w:val="16"/>
          <w:szCs w:val="16"/>
        </w:rPr>
        <w:t>tions of “Worldwide Origins/</w:t>
      </w:r>
      <w:r w:rsidR="000414A4" w:rsidRPr="00BB4434">
        <w:rPr>
          <w:b/>
          <w:sz w:val="16"/>
          <w:szCs w:val="16"/>
        </w:rPr>
        <w:t>Destinations of Immigrants and Migrants”</w:t>
      </w:r>
    </w:p>
    <w:p w14:paraId="788309C3" w14:textId="77777777" w:rsidR="00E31222" w:rsidRPr="00A96BB1" w:rsidRDefault="00E31222" w:rsidP="00526C7C">
      <w:pPr>
        <w:widowControl w:val="0"/>
        <w:autoSpaceDE w:val="0"/>
        <w:autoSpaceDN w:val="0"/>
        <w:adjustRightInd w:val="0"/>
        <w:rPr>
          <w:sz w:val="16"/>
          <w:szCs w:val="16"/>
        </w:rPr>
      </w:pPr>
    </w:p>
    <w:p w14:paraId="50281707" w14:textId="58C101A1" w:rsidR="009A281B" w:rsidRPr="00A96BB1" w:rsidRDefault="00490B63" w:rsidP="00526C7C">
      <w:pPr>
        <w:widowControl w:val="0"/>
        <w:autoSpaceDE w:val="0"/>
        <w:autoSpaceDN w:val="0"/>
        <w:adjustRightInd w:val="0"/>
        <w:rPr>
          <w:sz w:val="16"/>
          <w:szCs w:val="16"/>
        </w:rPr>
      </w:pPr>
      <w:r w:rsidRPr="00A96BB1">
        <w:rPr>
          <w:sz w:val="16"/>
          <w:szCs w:val="16"/>
        </w:rPr>
        <w:t>Immigrants</w:t>
      </w:r>
      <w:r w:rsidR="002215CB">
        <w:rPr>
          <w:sz w:val="16"/>
          <w:szCs w:val="16"/>
        </w:rPr>
        <w:t xml:space="preserve"> and Migrants</w:t>
      </w:r>
      <w:r w:rsidRPr="00A96BB1">
        <w:rPr>
          <w:sz w:val="16"/>
          <w:szCs w:val="16"/>
        </w:rPr>
        <w:t xml:space="preserve"> have</w:t>
      </w:r>
      <w:r w:rsidR="009A281B" w:rsidRPr="00A96BB1">
        <w:rPr>
          <w:sz w:val="16"/>
          <w:szCs w:val="16"/>
        </w:rPr>
        <w:t xml:space="preserve"> recently been prominent in the news thanks to Syrian civil war, Brexit and the upcoming US elections. People movement is a worldwide phenomenon</w:t>
      </w:r>
      <w:r w:rsidR="00EA0B7C" w:rsidRPr="00A96BB1">
        <w:rPr>
          <w:sz w:val="16"/>
          <w:szCs w:val="16"/>
        </w:rPr>
        <w:t>.</w:t>
      </w:r>
    </w:p>
    <w:p w14:paraId="602F3DAB" w14:textId="060DC165" w:rsidR="005C0202" w:rsidRPr="00CE672C" w:rsidRDefault="004F3D85" w:rsidP="00C75BED">
      <w:pPr>
        <w:pStyle w:val="NormalWeb"/>
        <w:rPr>
          <w:rFonts w:ascii="Times New Roman" w:hAnsi="Times New Roman"/>
          <w:i/>
          <w:sz w:val="16"/>
          <w:szCs w:val="16"/>
        </w:rPr>
      </w:pPr>
      <w:r>
        <w:rPr>
          <w:sz w:val="16"/>
          <w:szCs w:val="16"/>
          <w:lang w:eastAsia="ja-JP"/>
        </w:rPr>
        <w:t>In this memo, t</w:t>
      </w:r>
      <w:r w:rsidR="00B360D0" w:rsidRPr="00A96BB1">
        <w:rPr>
          <w:sz w:val="16"/>
          <w:szCs w:val="16"/>
          <w:lang w:eastAsia="ja-JP"/>
        </w:rPr>
        <w:t xml:space="preserve">wo </w:t>
      </w:r>
      <w:r>
        <w:rPr>
          <w:sz w:val="16"/>
          <w:szCs w:val="16"/>
          <w:lang w:eastAsia="ja-JP"/>
        </w:rPr>
        <w:t xml:space="preserve">Internet </w:t>
      </w:r>
      <w:r w:rsidR="00B360D0" w:rsidRPr="00A96BB1">
        <w:rPr>
          <w:sz w:val="16"/>
          <w:szCs w:val="16"/>
          <w:lang w:eastAsia="ja-JP"/>
        </w:rPr>
        <w:t xml:space="preserve">presentations </w:t>
      </w:r>
      <w:r w:rsidR="00A02916" w:rsidRPr="00A96BB1">
        <w:rPr>
          <w:sz w:val="16"/>
          <w:szCs w:val="16"/>
          <w:lang w:eastAsia="ja-JP"/>
        </w:rPr>
        <w:t xml:space="preserve">on the topic of </w:t>
      </w:r>
      <w:r>
        <w:rPr>
          <w:sz w:val="16"/>
          <w:szCs w:val="16"/>
          <w:lang w:eastAsia="ja-JP"/>
        </w:rPr>
        <w:t>Immigration/</w:t>
      </w:r>
      <w:r w:rsidR="00A02916" w:rsidRPr="00A96BB1">
        <w:rPr>
          <w:sz w:val="16"/>
          <w:szCs w:val="16"/>
          <w:lang w:eastAsia="ja-JP"/>
        </w:rPr>
        <w:t xml:space="preserve">Migration are compared. Both </w:t>
      </w:r>
      <w:r>
        <w:rPr>
          <w:sz w:val="16"/>
          <w:szCs w:val="16"/>
          <w:lang w:eastAsia="ja-JP"/>
        </w:rPr>
        <w:t>are</w:t>
      </w:r>
      <w:r w:rsidR="00C75BED" w:rsidRPr="00A96BB1">
        <w:rPr>
          <w:sz w:val="16"/>
          <w:szCs w:val="16"/>
          <w:lang w:eastAsia="ja-JP"/>
        </w:rPr>
        <w:t xml:space="preserve"> intended for similar audiences, </w:t>
      </w:r>
      <w:r w:rsidR="00A02916" w:rsidRPr="00A96BB1">
        <w:rPr>
          <w:sz w:val="16"/>
          <w:szCs w:val="16"/>
          <w:lang w:eastAsia="ja-JP"/>
        </w:rPr>
        <w:t>use</w:t>
      </w:r>
      <w:r w:rsidR="00EA0B7C" w:rsidRPr="00A96BB1">
        <w:rPr>
          <w:sz w:val="16"/>
          <w:szCs w:val="16"/>
          <w:lang w:eastAsia="ja-JP"/>
        </w:rPr>
        <w:t xml:space="preserve"> </w:t>
      </w:r>
      <w:r w:rsidR="00E31222" w:rsidRPr="00A96BB1">
        <w:rPr>
          <w:color w:val="262626"/>
          <w:sz w:val="16"/>
          <w:szCs w:val="16"/>
          <w:lang w:eastAsia="ja-JP"/>
        </w:rPr>
        <w:t>interactive maps</w:t>
      </w:r>
      <w:r w:rsidR="00C75BED" w:rsidRPr="00A96BB1">
        <w:rPr>
          <w:color w:val="262626"/>
          <w:sz w:val="16"/>
          <w:szCs w:val="16"/>
          <w:lang w:eastAsia="ja-JP"/>
        </w:rPr>
        <w:t>, and depict</w:t>
      </w:r>
      <w:r w:rsidR="00E31222" w:rsidRPr="00A96BB1">
        <w:rPr>
          <w:color w:val="262626"/>
          <w:sz w:val="16"/>
          <w:szCs w:val="16"/>
          <w:lang w:eastAsia="ja-JP"/>
        </w:rPr>
        <w:t xml:space="preserve"> total number of </w:t>
      </w:r>
      <w:r w:rsidR="00C75BED" w:rsidRPr="00A96BB1">
        <w:rPr>
          <w:color w:val="262626"/>
          <w:sz w:val="16"/>
          <w:szCs w:val="16"/>
          <w:lang w:eastAsia="ja-JP"/>
        </w:rPr>
        <w:t>international</w:t>
      </w:r>
      <w:r w:rsidR="00E31222" w:rsidRPr="00A96BB1">
        <w:rPr>
          <w:color w:val="262626"/>
          <w:sz w:val="16"/>
          <w:szCs w:val="16"/>
          <w:lang w:eastAsia="ja-JP"/>
        </w:rPr>
        <w:t xml:space="preserve"> migrants</w:t>
      </w:r>
      <w:r w:rsidR="00C75BED" w:rsidRPr="00A96BB1">
        <w:rPr>
          <w:color w:val="262626"/>
          <w:sz w:val="16"/>
          <w:szCs w:val="16"/>
          <w:lang w:eastAsia="ja-JP"/>
        </w:rPr>
        <w:t xml:space="preserve">, while qualifying </w:t>
      </w:r>
      <w:r w:rsidR="00E31222" w:rsidRPr="00A96BB1">
        <w:rPr>
          <w:color w:val="262626"/>
          <w:sz w:val="16"/>
          <w:szCs w:val="16"/>
          <w:lang w:eastAsia="ja-JP"/>
        </w:rPr>
        <w:t>immigrant</w:t>
      </w:r>
      <w:r w:rsidR="00EA0B7C" w:rsidRPr="00A96BB1">
        <w:rPr>
          <w:color w:val="262626"/>
          <w:sz w:val="16"/>
          <w:szCs w:val="16"/>
          <w:lang w:eastAsia="ja-JP"/>
        </w:rPr>
        <w:t>s</w:t>
      </w:r>
      <w:r w:rsidR="00E31222" w:rsidRPr="00A96BB1">
        <w:rPr>
          <w:color w:val="262626"/>
          <w:sz w:val="16"/>
          <w:szCs w:val="16"/>
          <w:lang w:eastAsia="ja-JP"/>
        </w:rPr>
        <w:t xml:space="preserve"> </w:t>
      </w:r>
      <w:r w:rsidR="00780625" w:rsidRPr="00A96BB1">
        <w:rPr>
          <w:color w:val="262626"/>
          <w:sz w:val="16"/>
          <w:szCs w:val="16"/>
          <w:lang w:eastAsia="ja-JP"/>
        </w:rPr>
        <w:t xml:space="preserve">(one who enters a destination country) </w:t>
      </w:r>
      <w:r w:rsidR="00EA0B7C" w:rsidRPr="00A96BB1">
        <w:rPr>
          <w:color w:val="262626"/>
          <w:sz w:val="16"/>
          <w:szCs w:val="16"/>
          <w:lang w:eastAsia="ja-JP"/>
        </w:rPr>
        <w:t xml:space="preserve">and emigrants </w:t>
      </w:r>
      <w:r w:rsidR="00780625" w:rsidRPr="00A96BB1">
        <w:rPr>
          <w:color w:val="262626"/>
          <w:sz w:val="16"/>
          <w:szCs w:val="16"/>
          <w:lang w:eastAsia="ja-JP"/>
        </w:rPr>
        <w:t>(on</w:t>
      </w:r>
      <w:r w:rsidR="00D64D54" w:rsidRPr="00A96BB1">
        <w:rPr>
          <w:color w:val="262626"/>
          <w:sz w:val="16"/>
          <w:szCs w:val="16"/>
          <w:lang w:eastAsia="ja-JP"/>
        </w:rPr>
        <w:t>e who leaves an origin country)</w:t>
      </w:r>
      <w:r w:rsidR="00780625" w:rsidRPr="00A96BB1">
        <w:rPr>
          <w:color w:val="262626"/>
          <w:sz w:val="16"/>
          <w:szCs w:val="16"/>
          <w:lang w:eastAsia="ja-JP"/>
        </w:rPr>
        <w:t>. The data i</w:t>
      </w:r>
      <w:r w:rsidR="00C75BED" w:rsidRPr="00A96BB1">
        <w:rPr>
          <w:color w:val="262626"/>
          <w:sz w:val="16"/>
          <w:szCs w:val="16"/>
          <w:lang w:eastAsia="ja-JP"/>
        </w:rPr>
        <w:t xml:space="preserve">n each is granular </w:t>
      </w:r>
      <w:r w:rsidR="00780625" w:rsidRPr="00A96BB1">
        <w:rPr>
          <w:color w:val="262626"/>
          <w:sz w:val="16"/>
          <w:szCs w:val="16"/>
          <w:lang w:eastAsia="ja-JP"/>
        </w:rPr>
        <w:t xml:space="preserve">by </w:t>
      </w:r>
      <w:r w:rsidR="00E31222" w:rsidRPr="00A96BB1">
        <w:rPr>
          <w:color w:val="262626"/>
          <w:sz w:val="16"/>
          <w:szCs w:val="16"/>
          <w:lang w:eastAsia="ja-JP"/>
        </w:rPr>
        <w:t xml:space="preserve">country, and </w:t>
      </w:r>
      <w:r w:rsidR="00B360D0" w:rsidRPr="00A96BB1">
        <w:rPr>
          <w:color w:val="262626"/>
          <w:sz w:val="16"/>
          <w:szCs w:val="16"/>
          <w:lang w:eastAsia="ja-JP"/>
        </w:rPr>
        <w:t>cover</w:t>
      </w:r>
      <w:r w:rsidR="003D4056">
        <w:rPr>
          <w:color w:val="262626"/>
          <w:sz w:val="16"/>
          <w:szCs w:val="16"/>
          <w:lang w:eastAsia="ja-JP"/>
        </w:rPr>
        <w:t>s</w:t>
      </w:r>
      <w:r w:rsidR="00B360D0" w:rsidRPr="00A96BB1">
        <w:rPr>
          <w:color w:val="262626"/>
          <w:sz w:val="16"/>
          <w:szCs w:val="16"/>
          <w:lang w:eastAsia="ja-JP"/>
        </w:rPr>
        <w:t xml:space="preserve"> </w:t>
      </w:r>
      <w:r w:rsidR="00C75BED" w:rsidRPr="00A96BB1">
        <w:rPr>
          <w:color w:val="262626"/>
          <w:sz w:val="16"/>
          <w:szCs w:val="16"/>
          <w:lang w:eastAsia="ja-JP"/>
        </w:rPr>
        <w:t xml:space="preserve">time series </w:t>
      </w:r>
      <w:r w:rsidR="009E4B51" w:rsidRPr="00A96BB1">
        <w:rPr>
          <w:color w:val="262626"/>
          <w:sz w:val="16"/>
          <w:szCs w:val="16"/>
          <w:lang w:eastAsia="ja-JP"/>
        </w:rPr>
        <w:t xml:space="preserve">data </w:t>
      </w:r>
      <w:r w:rsidR="003D4056">
        <w:rPr>
          <w:color w:val="262626"/>
          <w:sz w:val="16"/>
          <w:szCs w:val="16"/>
          <w:lang w:eastAsia="ja-JP"/>
        </w:rPr>
        <w:t xml:space="preserve">indicating </w:t>
      </w:r>
      <w:r w:rsidR="00747329" w:rsidRPr="00A96BB1">
        <w:rPr>
          <w:color w:val="262626"/>
          <w:sz w:val="16"/>
          <w:szCs w:val="16"/>
          <w:lang w:eastAsia="ja-JP"/>
        </w:rPr>
        <w:t>country wise</w:t>
      </w:r>
      <w:r w:rsidR="00A31D32" w:rsidRPr="00A96BB1">
        <w:rPr>
          <w:color w:val="262626"/>
          <w:sz w:val="16"/>
          <w:szCs w:val="16"/>
          <w:lang w:eastAsia="ja-JP"/>
        </w:rPr>
        <w:t xml:space="preserve"> </w:t>
      </w:r>
      <w:r w:rsidR="00780625" w:rsidRPr="00A96BB1">
        <w:rPr>
          <w:color w:val="262626"/>
          <w:sz w:val="16"/>
          <w:szCs w:val="16"/>
          <w:lang w:eastAsia="ja-JP"/>
        </w:rPr>
        <w:t>trends.</w:t>
      </w:r>
      <w:r w:rsidR="00CE672C" w:rsidRPr="00920EBA">
        <w:rPr>
          <w:rFonts w:ascii="Times New Roman" w:hAnsi="Times New Roman"/>
          <w:i/>
          <w:sz w:val="16"/>
          <w:szCs w:val="16"/>
          <w:lang w:eastAsia="ja-JP"/>
        </w:rPr>
        <w:t xml:space="preserve"> </w:t>
      </w:r>
    </w:p>
    <w:tbl>
      <w:tblPr>
        <w:tblStyle w:val="TableGrid"/>
        <w:tblpPr w:leftFromText="180" w:rightFromText="180" w:vertAnchor="text" w:horzAnchor="page" w:tblpX="1990" w:tblpY="50"/>
        <w:tblW w:w="8838" w:type="dxa"/>
        <w:tblLayout w:type="fixed"/>
        <w:tblLook w:val="04A0" w:firstRow="1" w:lastRow="0" w:firstColumn="1" w:lastColumn="0" w:noHBand="0" w:noVBand="1"/>
      </w:tblPr>
      <w:tblGrid>
        <w:gridCol w:w="1098"/>
        <w:gridCol w:w="1530"/>
        <w:gridCol w:w="2970"/>
        <w:gridCol w:w="1800"/>
        <w:gridCol w:w="1440"/>
      </w:tblGrid>
      <w:tr w:rsidR="00433E30" w:rsidRPr="005C0202" w14:paraId="0E198A92" w14:textId="77777777" w:rsidTr="00657ACF">
        <w:tc>
          <w:tcPr>
            <w:tcW w:w="1098" w:type="dxa"/>
          </w:tcPr>
          <w:p w14:paraId="2D787068" w14:textId="363E11D8" w:rsidR="00190244" w:rsidRPr="007620BB" w:rsidRDefault="00F36C7C" w:rsidP="00190244">
            <w:pPr>
              <w:widowControl w:val="0"/>
              <w:autoSpaceDE w:val="0"/>
              <w:autoSpaceDN w:val="0"/>
              <w:adjustRightInd w:val="0"/>
              <w:rPr>
                <w:b/>
                <w:color w:val="625E59"/>
                <w:sz w:val="16"/>
                <w:szCs w:val="20"/>
                <w:lang w:eastAsia="ja-JP"/>
              </w:rPr>
            </w:pPr>
            <w:r w:rsidRPr="007620BB">
              <w:rPr>
                <w:b/>
                <w:color w:val="625E59"/>
                <w:sz w:val="16"/>
                <w:szCs w:val="20"/>
                <w:lang w:eastAsia="ja-JP"/>
              </w:rPr>
              <w:t>Comparison Attribute</w:t>
            </w:r>
          </w:p>
        </w:tc>
        <w:tc>
          <w:tcPr>
            <w:tcW w:w="1530" w:type="dxa"/>
          </w:tcPr>
          <w:p w14:paraId="007D0FBD" w14:textId="77777777" w:rsidR="00190244" w:rsidRPr="007620BB" w:rsidRDefault="00773E8D" w:rsidP="00190244">
            <w:pPr>
              <w:rPr>
                <w:b/>
                <w:color w:val="4B8196"/>
                <w:sz w:val="16"/>
                <w:szCs w:val="20"/>
                <w:lang w:eastAsia="ja-JP"/>
              </w:rPr>
            </w:pPr>
            <w:hyperlink r:id="rId6" w:history="1">
              <w:r w:rsidR="00190244" w:rsidRPr="007620BB">
                <w:rPr>
                  <w:rStyle w:val="Hyperlink"/>
                  <w:b/>
                  <w:sz w:val="16"/>
                  <w:szCs w:val="20"/>
                  <w:lang w:eastAsia="ja-JP"/>
                </w:rPr>
                <w:t>Net Number of Migrants by Country, 1950-2015 (by Five-Year Intervals)</w:t>
              </w:r>
            </w:hyperlink>
            <w:r w:rsidR="00190244" w:rsidRPr="007620BB">
              <w:rPr>
                <w:b/>
                <w:color w:val="4B8196"/>
                <w:sz w:val="16"/>
                <w:szCs w:val="20"/>
                <w:lang w:eastAsia="ja-JP"/>
              </w:rPr>
              <w:t xml:space="preserve">  (4</w:t>
            </w:r>
            <w:r w:rsidR="00190244" w:rsidRPr="007620BB">
              <w:rPr>
                <w:b/>
                <w:color w:val="4B8196"/>
                <w:sz w:val="16"/>
                <w:szCs w:val="20"/>
                <w:vertAlign w:val="superscript"/>
                <w:lang w:eastAsia="ja-JP"/>
              </w:rPr>
              <w:t>th</w:t>
            </w:r>
            <w:r w:rsidR="00190244" w:rsidRPr="007620BB">
              <w:rPr>
                <w:b/>
                <w:color w:val="4B8196"/>
                <w:sz w:val="16"/>
                <w:szCs w:val="20"/>
                <w:lang w:eastAsia="ja-JP"/>
              </w:rPr>
              <w:t xml:space="preserve"> visual graphic on this page)</w:t>
            </w:r>
          </w:p>
        </w:tc>
        <w:tc>
          <w:tcPr>
            <w:tcW w:w="2970" w:type="dxa"/>
          </w:tcPr>
          <w:p w14:paraId="58D183D9" w14:textId="61245201" w:rsidR="00190244" w:rsidRPr="007620BB" w:rsidRDefault="00F36C7C" w:rsidP="00190244">
            <w:pPr>
              <w:rPr>
                <w:b/>
                <w:sz w:val="16"/>
                <w:szCs w:val="20"/>
              </w:rPr>
            </w:pPr>
            <w:r w:rsidRPr="007620BB">
              <w:rPr>
                <w:b/>
                <w:sz w:val="16"/>
                <w:szCs w:val="20"/>
              </w:rPr>
              <w:t>Comments</w:t>
            </w:r>
            <w:r w:rsidR="00B81B63" w:rsidRPr="007620BB">
              <w:rPr>
                <w:b/>
                <w:sz w:val="16"/>
                <w:szCs w:val="20"/>
              </w:rPr>
              <w:t xml:space="preserve"> on</w:t>
            </w:r>
            <w:r w:rsidR="007620BB" w:rsidRPr="007620BB">
              <w:rPr>
                <w:b/>
                <w:sz w:val="16"/>
                <w:szCs w:val="20"/>
              </w:rPr>
              <w:t xml:space="preserve"> Migrationpolicy.org presentation</w:t>
            </w:r>
          </w:p>
        </w:tc>
        <w:tc>
          <w:tcPr>
            <w:tcW w:w="1800" w:type="dxa"/>
          </w:tcPr>
          <w:p w14:paraId="78BC12E4" w14:textId="77777777" w:rsidR="00190244" w:rsidRPr="007620BB" w:rsidRDefault="00773E8D" w:rsidP="00190244">
            <w:pPr>
              <w:rPr>
                <w:b/>
                <w:sz w:val="16"/>
                <w:szCs w:val="20"/>
              </w:rPr>
            </w:pPr>
            <w:hyperlink r:id="rId7" w:history="1">
              <w:r w:rsidR="00190244" w:rsidRPr="007620BB">
                <w:rPr>
                  <w:rStyle w:val="Hyperlink"/>
                  <w:b/>
                  <w:sz w:val="16"/>
                  <w:szCs w:val="20"/>
                </w:rPr>
                <w:t>http://www.pewglobal.org/2016/05/17/global-migrant-stocks/</w:t>
              </w:r>
            </w:hyperlink>
          </w:p>
        </w:tc>
        <w:tc>
          <w:tcPr>
            <w:tcW w:w="1440" w:type="dxa"/>
          </w:tcPr>
          <w:p w14:paraId="622DB22E" w14:textId="496AE69A" w:rsidR="00190244" w:rsidRPr="007620BB" w:rsidRDefault="00190244" w:rsidP="00190244">
            <w:pPr>
              <w:widowControl w:val="0"/>
              <w:autoSpaceDE w:val="0"/>
              <w:autoSpaceDN w:val="0"/>
              <w:adjustRightInd w:val="0"/>
              <w:rPr>
                <w:b/>
                <w:color w:val="625E59"/>
                <w:sz w:val="16"/>
                <w:szCs w:val="20"/>
                <w:lang w:eastAsia="ja-JP"/>
              </w:rPr>
            </w:pPr>
            <w:r w:rsidRPr="007620BB">
              <w:rPr>
                <w:b/>
                <w:color w:val="625E59"/>
                <w:sz w:val="16"/>
                <w:szCs w:val="20"/>
                <w:lang w:eastAsia="ja-JP"/>
              </w:rPr>
              <w:t>Comments</w:t>
            </w:r>
            <w:r w:rsidR="00B81B63" w:rsidRPr="007620BB">
              <w:rPr>
                <w:b/>
                <w:color w:val="625E59"/>
                <w:sz w:val="16"/>
                <w:szCs w:val="20"/>
                <w:lang w:eastAsia="ja-JP"/>
              </w:rPr>
              <w:t xml:space="preserve"> on Pew Group presentation</w:t>
            </w:r>
          </w:p>
        </w:tc>
      </w:tr>
      <w:tr w:rsidR="009C71ED" w:rsidRPr="005C0202" w14:paraId="492A905B" w14:textId="77777777" w:rsidTr="00657ACF">
        <w:tc>
          <w:tcPr>
            <w:tcW w:w="1098" w:type="dxa"/>
          </w:tcPr>
          <w:p w14:paraId="1D9BC599" w14:textId="1021B3FA" w:rsidR="009C71ED" w:rsidRPr="00564726" w:rsidRDefault="009C71ED" w:rsidP="00190244">
            <w:pPr>
              <w:widowControl w:val="0"/>
              <w:autoSpaceDE w:val="0"/>
              <w:autoSpaceDN w:val="0"/>
              <w:adjustRightInd w:val="0"/>
              <w:rPr>
                <w:rFonts w:asciiTheme="majorHAnsi" w:hAnsiTheme="majorHAnsi"/>
                <w:b/>
                <w:color w:val="625E59"/>
                <w:sz w:val="14"/>
                <w:szCs w:val="14"/>
                <w:lang w:eastAsia="ja-JP"/>
              </w:rPr>
            </w:pPr>
            <w:r w:rsidRPr="00564726">
              <w:rPr>
                <w:rFonts w:asciiTheme="majorHAnsi" w:hAnsiTheme="majorHAnsi"/>
                <w:b/>
                <w:color w:val="625E59"/>
                <w:sz w:val="14"/>
                <w:szCs w:val="14"/>
                <w:lang w:eastAsia="ja-JP"/>
              </w:rPr>
              <w:t xml:space="preserve">User control </w:t>
            </w:r>
            <w:r w:rsidR="007620BB" w:rsidRPr="00564726">
              <w:rPr>
                <w:rFonts w:asciiTheme="majorHAnsi" w:hAnsiTheme="majorHAnsi"/>
                <w:b/>
                <w:color w:val="625E59"/>
                <w:sz w:val="14"/>
                <w:szCs w:val="14"/>
                <w:lang w:eastAsia="ja-JP"/>
              </w:rPr>
              <w:t>of dynamic features</w:t>
            </w:r>
          </w:p>
        </w:tc>
        <w:tc>
          <w:tcPr>
            <w:tcW w:w="1530" w:type="dxa"/>
          </w:tcPr>
          <w:p w14:paraId="7BF8350D" w14:textId="2CF64C82" w:rsidR="009C71ED" w:rsidRPr="0033597A" w:rsidRDefault="007620BB" w:rsidP="00190244">
            <w:pPr>
              <w:widowControl w:val="0"/>
              <w:autoSpaceDE w:val="0"/>
              <w:autoSpaceDN w:val="0"/>
              <w:adjustRightInd w:val="0"/>
              <w:rPr>
                <w:rFonts w:asciiTheme="majorHAnsi" w:hAnsiTheme="majorHAnsi"/>
                <w:color w:val="625E59"/>
                <w:sz w:val="14"/>
                <w:szCs w:val="14"/>
                <w:lang w:eastAsia="ja-JP"/>
              </w:rPr>
            </w:pPr>
            <w:r w:rsidRPr="0033597A">
              <w:rPr>
                <w:rFonts w:asciiTheme="majorHAnsi" w:hAnsiTheme="majorHAnsi"/>
                <w:color w:val="625E59"/>
                <w:sz w:val="14"/>
                <w:szCs w:val="14"/>
                <w:lang w:eastAsia="ja-JP"/>
              </w:rPr>
              <w:t>The “keep only” and “exclude” button</w:t>
            </w:r>
            <w:r w:rsidR="003D3267">
              <w:rPr>
                <w:rFonts w:asciiTheme="majorHAnsi" w:hAnsiTheme="majorHAnsi"/>
                <w:color w:val="625E59"/>
                <w:sz w:val="14"/>
                <w:szCs w:val="14"/>
                <w:lang w:eastAsia="ja-JP"/>
              </w:rPr>
              <w:t>s add no useful functionality</w:t>
            </w:r>
            <w:r w:rsidRPr="0033597A">
              <w:rPr>
                <w:rFonts w:asciiTheme="majorHAnsi" w:hAnsiTheme="majorHAnsi"/>
                <w:color w:val="625E59"/>
                <w:sz w:val="14"/>
                <w:szCs w:val="14"/>
                <w:lang w:eastAsia="ja-JP"/>
              </w:rPr>
              <w:t>.</w:t>
            </w:r>
          </w:p>
        </w:tc>
        <w:tc>
          <w:tcPr>
            <w:tcW w:w="2970" w:type="dxa"/>
          </w:tcPr>
          <w:p w14:paraId="24A101C8" w14:textId="15779E10" w:rsidR="009C71ED" w:rsidRPr="00673A01" w:rsidRDefault="009C71ED" w:rsidP="00190244">
            <w:pPr>
              <w:widowControl w:val="0"/>
              <w:autoSpaceDE w:val="0"/>
              <w:autoSpaceDN w:val="0"/>
              <w:adjustRightInd w:val="0"/>
              <w:rPr>
                <w:rFonts w:asciiTheme="majorHAnsi" w:hAnsiTheme="majorHAnsi"/>
                <w:b/>
                <w:color w:val="625E59"/>
                <w:sz w:val="14"/>
                <w:szCs w:val="14"/>
                <w:lang w:eastAsia="ja-JP"/>
              </w:rPr>
            </w:pPr>
            <w:r w:rsidRPr="00673A01">
              <w:rPr>
                <w:rFonts w:asciiTheme="majorHAnsi" w:hAnsiTheme="majorHAnsi"/>
                <w:b/>
                <w:color w:val="625E59"/>
                <w:sz w:val="14"/>
                <w:szCs w:val="14"/>
                <w:lang w:eastAsia="ja-JP"/>
              </w:rPr>
              <w:t>Clicking on a country on the map does not have the desired effect and ends up masking data</w:t>
            </w:r>
          </w:p>
          <w:p w14:paraId="4FCE2348" w14:textId="77777777" w:rsidR="00DC643C" w:rsidRPr="00673A01" w:rsidRDefault="00DC643C" w:rsidP="00190244">
            <w:pPr>
              <w:widowControl w:val="0"/>
              <w:autoSpaceDE w:val="0"/>
              <w:autoSpaceDN w:val="0"/>
              <w:adjustRightInd w:val="0"/>
              <w:rPr>
                <w:rFonts w:asciiTheme="majorHAnsi" w:hAnsiTheme="majorHAnsi"/>
                <w:b/>
                <w:color w:val="625E59"/>
                <w:sz w:val="14"/>
                <w:szCs w:val="14"/>
                <w:lang w:eastAsia="ja-JP"/>
              </w:rPr>
            </w:pPr>
          </w:p>
          <w:p w14:paraId="7C1835F2" w14:textId="2FBED47B" w:rsidR="00994399" w:rsidRPr="00673A01" w:rsidRDefault="005879AD" w:rsidP="005879AD">
            <w:pPr>
              <w:widowControl w:val="0"/>
              <w:autoSpaceDE w:val="0"/>
              <w:autoSpaceDN w:val="0"/>
              <w:adjustRightInd w:val="0"/>
              <w:rPr>
                <w:rFonts w:asciiTheme="majorHAnsi" w:hAnsiTheme="majorHAnsi"/>
                <w:b/>
                <w:color w:val="625E59"/>
                <w:sz w:val="14"/>
                <w:szCs w:val="14"/>
                <w:lang w:eastAsia="ja-JP"/>
              </w:rPr>
            </w:pPr>
            <w:r w:rsidRPr="00673A01">
              <w:rPr>
                <w:rFonts w:asciiTheme="majorHAnsi" w:hAnsiTheme="majorHAnsi"/>
                <w:b/>
                <w:color w:val="625E59"/>
                <w:sz w:val="14"/>
                <w:szCs w:val="14"/>
                <w:lang w:eastAsia="ja-JP"/>
              </w:rPr>
              <w:t xml:space="preserve">The </w:t>
            </w:r>
            <w:r w:rsidR="00925938" w:rsidRPr="00673A01">
              <w:rPr>
                <w:rFonts w:asciiTheme="majorHAnsi" w:hAnsiTheme="majorHAnsi"/>
                <w:b/>
                <w:color w:val="625E59"/>
                <w:sz w:val="14"/>
                <w:szCs w:val="14"/>
                <w:lang w:eastAsia="ja-JP"/>
              </w:rPr>
              <w:t>allowed u</w:t>
            </w:r>
            <w:r w:rsidR="00DC643C" w:rsidRPr="00673A01">
              <w:rPr>
                <w:rFonts w:asciiTheme="majorHAnsi" w:hAnsiTheme="majorHAnsi"/>
                <w:b/>
                <w:color w:val="625E59"/>
                <w:sz w:val="14"/>
                <w:szCs w:val="14"/>
                <w:lang w:eastAsia="ja-JP"/>
              </w:rPr>
              <w:t xml:space="preserve">se of </w:t>
            </w:r>
            <w:r w:rsidR="00925938" w:rsidRPr="00673A01">
              <w:rPr>
                <w:rFonts w:asciiTheme="majorHAnsi" w:hAnsiTheme="majorHAnsi"/>
                <w:b/>
                <w:color w:val="625E59"/>
                <w:sz w:val="14"/>
                <w:szCs w:val="14"/>
                <w:lang w:eastAsia="ja-JP"/>
              </w:rPr>
              <w:t xml:space="preserve">the </w:t>
            </w:r>
            <w:r w:rsidR="00DC643C" w:rsidRPr="00673A01">
              <w:rPr>
                <w:rFonts w:asciiTheme="majorHAnsi" w:hAnsiTheme="majorHAnsi"/>
                <w:b/>
                <w:color w:val="625E59"/>
                <w:sz w:val="14"/>
                <w:szCs w:val="14"/>
                <w:lang w:eastAsia="ja-JP"/>
              </w:rPr>
              <w:t>mouse to create a zoom in view makes the image fuzzy and reveals no additional data</w:t>
            </w:r>
          </w:p>
        </w:tc>
        <w:tc>
          <w:tcPr>
            <w:tcW w:w="1800" w:type="dxa"/>
          </w:tcPr>
          <w:p w14:paraId="47DA796D" w14:textId="659A21BA" w:rsidR="009C71ED" w:rsidRPr="0033597A" w:rsidRDefault="007620BB" w:rsidP="00190244">
            <w:pPr>
              <w:widowControl w:val="0"/>
              <w:autoSpaceDE w:val="0"/>
              <w:autoSpaceDN w:val="0"/>
              <w:adjustRightInd w:val="0"/>
              <w:rPr>
                <w:rFonts w:asciiTheme="majorHAnsi" w:hAnsiTheme="majorHAnsi"/>
                <w:color w:val="625E59"/>
                <w:sz w:val="14"/>
                <w:szCs w:val="14"/>
                <w:lang w:eastAsia="ja-JP"/>
              </w:rPr>
            </w:pPr>
            <w:r w:rsidRPr="0033597A">
              <w:rPr>
                <w:rFonts w:asciiTheme="majorHAnsi" w:hAnsiTheme="majorHAnsi"/>
                <w:color w:val="625E59"/>
                <w:sz w:val="14"/>
                <w:szCs w:val="14"/>
                <w:lang w:eastAsia="ja-JP"/>
              </w:rPr>
              <w:t xml:space="preserve">With additional radio buttons that require additional clicks, data on immigration and emigration is clearly </w:t>
            </w:r>
            <w:r w:rsidR="00773E8D">
              <w:rPr>
                <w:rFonts w:asciiTheme="majorHAnsi" w:hAnsiTheme="majorHAnsi"/>
                <w:color w:val="625E59"/>
                <w:sz w:val="14"/>
                <w:szCs w:val="14"/>
                <w:lang w:eastAsia="ja-JP"/>
              </w:rPr>
              <w:t xml:space="preserve">available and </w:t>
            </w:r>
            <w:r w:rsidRPr="0033597A">
              <w:rPr>
                <w:rFonts w:asciiTheme="majorHAnsi" w:hAnsiTheme="majorHAnsi"/>
                <w:color w:val="625E59"/>
                <w:sz w:val="14"/>
                <w:szCs w:val="14"/>
                <w:lang w:eastAsia="ja-JP"/>
              </w:rPr>
              <w:t>presented.</w:t>
            </w:r>
          </w:p>
        </w:tc>
        <w:tc>
          <w:tcPr>
            <w:tcW w:w="1440" w:type="dxa"/>
          </w:tcPr>
          <w:p w14:paraId="237135D2" w14:textId="650CDBDF" w:rsidR="009C71ED" w:rsidRPr="00673A01" w:rsidRDefault="000425EA" w:rsidP="007620BB">
            <w:pPr>
              <w:widowControl w:val="0"/>
              <w:autoSpaceDE w:val="0"/>
              <w:autoSpaceDN w:val="0"/>
              <w:adjustRightInd w:val="0"/>
              <w:rPr>
                <w:rFonts w:asciiTheme="majorHAnsi" w:hAnsiTheme="majorHAnsi"/>
                <w:b/>
                <w:color w:val="625E59"/>
                <w:sz w:val="14"/>
                <w:szCs w:val="14"/>
                <w:lang w:eastAsia="ja-JP"/>
              </w:rPr>
            </w:pPr>
            <w:r w:rsidRPr="00673A01">
              <w:rPr>
                <w:rFonts w:asciiTheme="majorHAnsi" w:hAnsiTheme="majorHAnsi"/>
                <w:b/>
                <w:color w:val="625E59"/>
                <w:sz w:val="14"/>
                <w:szCs w:val="14"/>
                <w:lang w:eastAsia="ja-JP"/>
              </w:rPr>
              <w:t xml:space="preserve">Clicking on a country </w:t>
            </w:r>
            <w:r w:rsidR="00D15FF1" w:rsidRPr="00673A01">
              <w:rPr>
                <w:rFonts w:asciiTheme="majorHAnsi" w:hAnsiTheme="majorHAnsi"/>
                <w:b/>
                <w:color w:val="625E59"/>
                <w:sz w:val="14"/>
                <w:szCs w:val="14"/>
                <w:lang w:eastAsia="ja-JP"/>
              </w:rPr>
              <w:t xml:space="preserve">name </w:t>
            </w:r>
            <w:r w:rsidRPr="00673A01">
              <w:rPr>
                <w:rFonts w:asciiTheme="majorHAnsi" w:hAnsiTheme="majorHAnsi"/>
                <w:b/>
                <w:color w:val="625E59"/>
                <w:sz w:val="14"/>
                <w:szCs w:val="14"/>
                <w:lang w:eastAsia="ja-JP"/>
              </w:rPr>
              <w:t xml:space="preserve">provides </w:t>
            </w:r>
            <w:r w:rsidR="00883BE7" w:rsidRPr="00673A01">
              <w:rPr>
                <w:rFonts w:asciiTheme="majorHAnsi" w:hAnsiTheme="majorHAnsi"/>
                <w:b/>
                <w:color w:val="625E59"/>
                <w:sz w:val="14"/>
                <w:szCs w:val="14"/>
                <w:lang w:eastAsia="ja-JP"/>
              </w:rPr>
              <w:t>country specific data.</w:t>
            </w:r>
          </w:p>
        </w:tc>
      </w:tr>
      <w:tr w:rsidR="00433E30" w:rsidRPr="005C0202" w14:paraId="01DB67ED" w14:textId="77777777" w:rsidTr="00657ACF">
        <w:tc>
          <w:tcPr>
            <w:tcW w:w="1098" w:type="dxa"/>
          </w:tcPr>
          <w:p w14:paraId="04E5C02F" w14:textId="28C3C4EB" w:rsidR="00190244" w:rsidRPr="00564726" w:rsidRDefault="00190244" w:rsidP="00190244">
            <w:pPr>
              <w:widowControl w:val="0"/>
              <w:autoSpaceDE w:val="0"/>
              <w:autoSpaceDN w:val="0"/>
              <w:adjustRightInd w:val="0"/>
              <w:rPr>
                <w:rFonts w:asciiTheme="majorHAnsi" w:hAnsiTheme="majorHAnsi"/>
                <w:b/>
                <w:color w:val="625E59"/>
                <w:sz w:val="14"/>
                <w:szCs w:val="14"/>
                <w:lang w:eastAsia="ja-JP"/>
              </w:rPr>
            </w:pPr>
            <w:r w:rsidRPr="00564726">
              <w:rPr>
                <w:rFonts w:asciiTheme="majorHAnsi" w:hAnsiTheme="majorHAnsi"/>
                <w:b/>
                <w:color w:val="625E59"/>
                <w:sz w:val="14"/>
                <w:szCs w:val="14"/>
                <w:lang w:eastAsia="ja-JP"/>
              </w:rPr>
              <w:t>Complex data presented with clarity and efficiency</w:t>
            </w:r>
            <w:r w:rsidR="0024626D" w:rsidRPr="00564726">
              <w:rPr>
                <w:rFonts w:asciiTheme="majorHAnsi" w:hAnsiTheme="majorHAnsi"/>
                <w:b/>
                <w:color w:val="625E59"/>
                <w:sz w:val="14"/>
                <w:szCs w:val="14"/>
                <w:lang w:eastAsia="ja-JP"/>
              </w:rPr>
              <w:t>, judicious use of color</w:t>
            </w:r>
          </w:p>
        </w:tc>
        <w:tc>
          <w:tcPr>
            <w:tcW w:w="1530" w:type="dxa"/>
          </w:tcPr>
          <w:p w14:paraId="7D0A86F0" w14:textId="03811FB2" w:rsidR="00190244" w:rsidRPr="0033597A" w:rsidRDefault="00EC25AD" w:rsidP="00190244">
            <w:pPr>
              <w:widowControl w:val="0"/>
              <w:autoSpaceDE w:val="0"/>
              <w:autoSpaceDN w:val="0"/>
              <w:adjustRightInd w:val="0"/>
              <w:rPr>
                <w:rFonts w:asciiTheme="majorHAnsi" w:hAnsiTheme="majorHAnsi"/>
                <w:color w:val="625E59"/>
                <w:sz w:val="14"/>
                <w:szCs w:val="14"/>
                <w:lang w:eastAsia="ja-JP"/>
              </w:rPr>
            </w:pPr>
            <w:r w:rsidRPr="0033597A">
              <w:rPr>
                <w:rFonts w:asciiTheme="majorHAnsi" w:hAnsiTheme="majorHAnsi"/>
                <w:color w:val="625E59"/>
                <w:sz w:val="14"/>
                <w:szCs w:val="14"/>
                <w:lang w:eastAsia="ja-JP"/>
              </w:rPr>
              <w:t>The “single finger swipe” causes a zoom in or zoom out tha</w:t>
            </w:r>
            <w:r w:rsidR="00617CAA">
              <w:rPr>
                <w:rFonts w:asciiTheme="majorHAnsi" w:hAnsiTheme="majorHAnsi"/>
                <w:color w:val="625E59"/>
                <w:sz w:val="14"/>
                <w:szCs w:val="14"/>
                <w:lang w:eastAsia="ja-JP"/>
              </w:rPr>
              <w:t>t makes the chart unusable</w:t>
            </w:r>
            <w:r w:rsidRPr="0033597A">
              <w:rPr>
                <w:rFonts w:asciiTheme="majorHAnsi" w:hAnsiTheme="majorHAnsi"/>
                <w:color w:val="625E59"/>
                <w:sz w:val="14"/>
                <w:szCs w:val="14"/>
                <w:lang w:eastAsia="ja-JP"/>
              </w:rPr>
              <w:t xml:space="preserve">. </w:t>
            </w:r>
            <w:r w:rsidR="00DB37C9" w:rsidRPr="0033597A">
              <w:rPr>
                <w:rFonts w:asciiTheme="majorHAnsi" w:hAnsiTheme="majorHAnsi"/>
                <w:color w:val="625E59"/>
                <w:sz w:val="14"/>
                <w:szCs w:val="14"/>
                <w:lang w:eastAsia="ja-JP"/>
              </w:rPr>
              <w:t xml:space="preserve">Recovering from </w:t>
            </w:r>
            <w:r w:rsidR="005C1EA9" w:rsidRPr="0033597A">
              <w:rPr>
                <w:rFonts w:asciiTheme="majorHAnsi" w:hAnsiTheme="majorHAnsi"/>
                <w:color w:val="625E59"/>
                <w:sz w:val="14"/>
                <w:szCs w:val="14"/>
                <w:lang w:eastAsia="ja-JP"/>
              </w:rPr>
              <w:t xml:space="preserve">this </w:t>
            </w:r>
            <w:r w:rsidR="005C1EA9">
              <w:rPr>
                <w:rFonts w:asciiTheme="majorHAnsi" w:hAnsiTheme="majorHAnsi"/>
                <w:color w:val="625E59"/>
                <w:sz w:val="14"/>
                <w:szCs w:val="14"/>
                <w:lang w:eastAsia="ja-JP"/>
              </w:rPr>
              <w:t>unusable</w:t>
            </w:r>
            <w:r w:rsidR="005B1658">
              <w:rPr>
                <w:rFonts w:asciiTheme="majorHAnsi" w:hAnsiTheme="majorHAnsi"/>
                <w:color w:val="625E59"/>
                <w:sz w:val="14"/>
                <w:szCs w:val="14"/>
                <w:lang w:eastAsia="ja-JP"/>
              </w:rPr>
              <w:t xml:space="preserve"> state </w:t>
            </w:r>
            <w:r w:rsidR="00DB37C9" w:rsidRPr="0033597A">
              <w:rPr>
                <w:rFonts w:asciiTheme="majorHAnsi" w:hAnsiTheme="majorHAnsi"/>
                <w:color w:val="625E59"/>
                <w:sz w:val="14"/>
                <w:szCs w:val="14"/>
                <w:lang w:eastAsia="ja-JP"/>
              </w:rPr>
              <w:t>is not an easy task.</w:t>
            </w:r>
          </w:p>
        </w:tc>
        <w:tc>
          <w:tcPr>
            <w:tcW w:w="2970" w:type="dxa"/>
          </w:tcPr>
          <w:p w14:paraId="667C6959" w14:textId="562D2F8F" w:rsidR="001E54C5" w:rsidRPr="00673A01" w:rsidRDefault="00433E30" w:rsidP="00190244">
            <w:pPr>
              <w:widowControl w:val="0"/>
              <w:autoSpaceDE w:val="0"/>
              <w:autoSpaceDN w:val="0"/>
              <w:adjustRightInd w:val="0"/>
              <w:rPr>
                <w:rFonts w:asciiTheme="majorHAnsi" w:hAnsiTheme="majorHAnsi"/>
                <w:b/>
                <w:color w:val="625E59"/>
                <w:sz w:val="14"/>
                <w:szCs w:val="14"/>
                <w:lang w:eastAsia="ja-JP"/>
              </w:rPr>
            </w:pPr>
            <w:r w:rsidRPr="00673A01">
              <w:rPr>
                <w:rFonts w:asciiTheme="majorHAnsi" w:hAnsiTheme="majorHAnsi"/>
                <w:b/>
                <w:color w:val="625E59"/>
                <w:sz w:val="14"/>
                <w:szCs w:val="14"/>
                <w:lang w:eastAsia="ja-JP"/>
              </w:rPr>
              <w:t xml:space="preserve">The use of bar graphs to show </w:t>
            </w:r>
            <w:r w:rsidR="00617CAA" w:rsidRPr="00673A01">
              <w:rPr>
                <w:rFonts w:asciiTheme="majorHAnsi" w:hAnsiTheme="majorHAnsi"/>
                <w:b/>
                <w:color w:val="625E59"/>
                <w:sz w:val="14"/>
                <w:szCs w:val="14"/>
                <w:lang w:eastAsia="ja-JP"/>
              </w:rPr>
              <w:t>multi-</w:t>
            </w:r>
            <w:r w:rsidRPr="00673A01">
              <w:rPr>
                <w:rFonts w:asciiTheme="majorHAnsi" w:hAnsiTheme="majorHAnsi"/>
                <w:b/>
                <w:color w:val="625E59"/>
                <w:sz w:val="14"/>
                <w:szCs w:val="14"/>
                <w:lang w:eastAsia="ja-JP"/>
              </w:rPr>
              <w:t>year numbers on the same page is useful</w:t>
            </w:r>
            <w:r w:rsidR="009C71ED" w:rsidRPr="00673A01">
              <w:rPr>
                <w:rFonts w:asciiTheme="majorHAnsi" w:hAnsiTheme="majorHAnsi"/>
                <w:b/>
                <w:color w:val="625E59"/>
                <w:sz w:val="14"/>
                <w:szCs w:val="14"/>
                <w:lang w:eastAsia="ja-JP"/>
              </w:rPr>
              <w:t xml:space="preserve"> to visualize </w:t>
            </w:r>
            <w:r w:rsidR="00617CAA" w:rsidRPr="00673A01">
              <w:rPr>
                <w:rFonts w:asciiTheme="majorHAnsi" w:hAnsiTheme="majorHAnsi"/>
                <w:b/>
                <w:color w:val="625E59"/>
                <w:sz w:val="14"/>
                <w:szCs w:val="14"/>
                <w:lang w:eastAsia="ja-JP"/>
              </w:rPr>
              <w:t>long-term</w:t>
            </w:r>
            <w:r w:rsidR="009C71ED" w:rsidRPr="00673A01">
              <w:rPr>
                <w:rFonts w:asciiTheme="majorHAnsi" w:hAnsiTheme="majorHAnsi"/>
                <w:b/>
                <w:color w:val="625E59"/>
                <w:sz w:val="14"/>
                <w:szCs w:val="14"/>
                <w:lang w:eastAsia="ja-JP"/>
              </w:rPr>
              <w:t xml:space="preserve"> trend. </w:t>
            </w:r>
          </w:p>
          <w:p w14:paraId="38784FDC" w14:textId="77777777" w:rsidR="005879AD" w:rsidRPr="00673A01" w:rsidRDefault="005879AD" w:rsidP="00190244">
            <w:pPr>
              <w:widowControl w:val="0"/>
              <w:autoSpaceDE w:val="0"/>
              <w:autoSpaceDN w:val="0"/>
              <w:adjustRightInd w:val="0"/>
              <w:rPr>
                <w:rFonts w:asciiTheme="majorHAnsi" w:hAnsiTheme="majorHAnsi"/>
                <w:b/>
                <w:color w:val="625E59"/>
                <w:sz w:val="14"/>
                <w:szCs w:val="14"/>
                <w:lang w:eastAsia="ja-JP"/>
              </w:rPr>
            </w:pPr>
          </w:p>
          <w:p w14:paraId="71847D7E" w14:textId="1607E0F5" w:rsidR="005F0E8F" w:rsidRPr="00673A01" w:rsidRDefault="009C71ED" w:rsidP="00190244">
            <w:pPr>
              <w:widowControl w:val="0"/>
              <w:autoSpaceDE w:val="0"/>
              <w:autoSpaceDN w:val="0"/>
              <w:adjustRightInd w:val="0"/>
              <w:rPr>
                <w:rFonts w:asciiTheme="majorHAnsi" w:hAnsiTheme="majorHAnsi"/>
                <w:b/>
                <w:color w:val="625E59"/>
                <w:sz w:val="14"/>
                <w:szCs w:val="14"/>
                <w:lang w:eastAsia="ja-JP"/>
              </w:rPr>
            </w:pPr>
            <w:r w:rsidRPr="00673A01">
              <w:rPr>
                <w:rFonts w:asciiTheme="majorHAnsi" w:hAnsiTheme="majorHAnsi"/>
                <w:b/>
                <w:color w:val="625E59"/>
                <w:sz w:val="14"/>
                <w:szCs w:val="14"/>
                <w:lang w:eastAsia="ja-JP"/>
              </w:rPr>
              <w:t>The use of a heat band</w:t>
            </w:r>
            <w:r w:rsidR="005C1EA9" w:rsidRPr="00673A01">
              <w:rPr>
                <w:rFonts w:asciiTheme="majorHAnsi" w:hAnsiTheme="majorHAnsi"/>
                <w:b/>
                <w:color w:val="625E59"/>
                <w:sz w:val="14"/>
                <w:szCs w:val="14"/>
                <w:lang w:eastAsia="ja-JP"/>
              </w:rPr>
              <w:t xml:space="preserve"> </w:t>
            </w:r>
            <w:r w:rsidRPr="00673A01">
              <w:rPr>
                <w:rFonts w:asciiTheme="majorHAnsi" w:hAnsiTheme="majorHAnsi"/>
                <w:b/>
                <w:color w:val="625E59"/>
                <w:sz w:val="14"/>
                <w:szCs w:val="14"/>
                <w:lang w:eastAsia="ja-JP"/>
              </w:rPr>
              <w:t>to show contributing countries</w:t>
            </w:r>
            <w:r w:rsidR="00D14DF9" w:rsidRPr="00673A01">
              <w:rPr>
                <w:rFonts w:asciiTheme="majorHAnsi" w:hAnsiTheme="majorHAnsi"/>
                <w:b/>
                <w:color w:val="625E59"/>
                <w:sz w:val="14"/>
                <w:szCs w:val="14"/>
                <w:lang w:eastAsia="ja-JP"/>
              </w:rPr>
              <w:t>,</w:t>
            </w:r>
            <w:r w:rsidRPr="00673A01">
              <w:rPr>
                <w:rFonts w:asciiTheme="majorHAnsi" w:hAnsiTheme="majorHAnsi"/>
                <w:b/>
                <w:color w:val="625E59"/>
                <w:sz w:val="14"/>
                <w:szCs w:val="14"/>
                <w:lang w:eastAsia="ja-JP"/>
              </w:rPr>
              <w:t xml:space="preserve"> is clever.</w:t>
            </w:r>
            <w:r w:rsidR="00617CAA" w:rsidRPr="00673A01">
              <w:rPr>
                <w:rFonts w:asciiTheme="majorHAnsi" w:hAnsiTheme="majorHAnsi"/>
                <w:b/>
                <w:color w:val="625E59"/>
                <w:sz w:val="14"/>
                <w:szCs w:val="14"/>
                <w:lang w:eastAsia="ja-JP"/>
              </w:rPr>
              <w:t xml:space="preserve"> </w:t>
            </w:r>
          </w:p>
          <w:p w14:paraId="7A9C7D57" w14:textId="77777777" w:rsidR="005879AD" w:rsidRPr="00673A01" w:rsidRDefault="005879AD" w:rsidP="00190244">
            <w:pPr>
              <w:widowControl w:val="0"/>
              <w:autoSpaceDE w:val="0"/>
              <w:autoSpaceDN w:val="0"/>
              <w:adjustRightInd w:val="0"/>
              <w:rPr>
                <w:rFonts w:asciiTheme="majorHAnsi" w:hAnsiTheme="majorHAnsi"/>
                <w:b/>
                <w:color w:val="625E59"/>
                <w:sz w:val="14"/>
                <w:szCs w:val="14"/>
                <w:lang w:eastAsia="ja-JP"/>
              </w:rPr>
            </w:pPr>
          </w:p>
          <w:p w14:paraId="17E7AA6A" w14:textId="076B5C2A" w:rsidR="00190244" w:rsidRPr="00673A01" w:rsidRDefault="00617CAA" w:rsidP="00190244">
            <w:pPr>
              <w:widowControl w:val="0"/>
              <w:autoSpaceDE w:val="0"/>
              <w:autoSpaceDN w:val="0"/>
              <w:adjustRightInd w:val="0"/>
              <w:rPr>
                <w:rFonts w:asciiTheme="majorHAnsi" w:hAnsiTheme="majorHAnsi"/>
                <w:b/>
                <w:color w:val="625E59"/>
                <w:sz w:val="14"/>
                <w:szCs w:val="14"/>
                <w:lang w:eastAsia="ja-JP"/>
              </w:rPr>
            </w:pPr>
            <w:r w:rsidRPr="00673A01">
              <w:rPr>
                <w:rFonts w:asciiTheme="majorHAnsi" w:hAnsiTheme="majorHAnsi"/>
                <w:b/>
                <w:color w:val="625E59"/>
                <w:sz w:val="14"/>
                <w:szCs w:val="14"/>
                <w:lang w:eastAsia="ja-JP"/>
              </w:rPr>
              <w:t>However, the p</w:t>
            </w:r>
            <w:r w:rsidR="005C1EA9" w:rsidRPr="00673A01">
              <w:rPr>
                <w:rFonts w:asciiTheme="majorHAnsi" w:hAnsiTheme="majorHAnsi"/>
                <w:b/>
                <w:color w:val="625E59"/>
                <w:sz w:val="14"/>
                <w:szCs w:val="14"/>
                <w:lang w:eastAsia="ja-JP"/>
              </w:rPr>
              <w:t xml:space="preserve">oorly chosen </w:t>
            </w:r>
            <w:r w:rsidR="00D65557" w:rsidRPr="00673A01">
              <w:rPr>
                <w:rFonts w:asciiTheme="majorHAnsi" w:hAnsiTheme="majorHAnsi"/>
                <w:b/>
                <w:color w:val="625E59"/>
                <w:sz w:val="14"/>
                <w:szCs w:val="14"/>
                <w:lang w:eastAsia="ja-JP"/>
              </w:rPr>
              <w:t>hue dimension</w:t>
            </w:r>
            <w:r w:rsidR="00D15FF1" w:rsidRPr="00673A01">
              <w:rPr>
                <w:rFonts w:asciiTheme="majorHAnsi" w:hAnsiTheme="majorHAnsi"/>
                <w:b/>
                <w:color w:val="625E59"/>
                <w:sz w:val="14"/>
                <w:szCs w:val="14"/>
                <w:lang w:eastAsia="ja-JP"/>
              </w:rPr>
              <w:t xml:space="preserve"> dilutes the </w:t>
            </w:r>
            <w:r w:rsidR="00A906C6" w:rsidRPr="00673A01">
              <w:rPr>
                <w:rFonts w:asciiTheme="majorHAnsi" w:hAnsiTheme="majorHAnsi"/>
                <w:b/>
                <w:color w:val="625E59"/>
                <w:sz w:val="14"/>
                <w:szCs w:val="14"/>
                <w:lang w:eastAsia="ja-JP"/>
              </w:rPr>
              <w:t>above a</w:t>
            </w:r>
            <w:r w:rsidRPr="00673A01">
              <w:rPr>
                <w:rFonts w:asciiTheme="majorHAnsi" w:hAnsiTheme="majorHAnsi"/>
                <w:b/>
                <w:color w:val="625E59"/>
                <w:sz w:val="14"/>
                <w:szCs w:val="14"/>
                <w:lang w:eastAsia="ja-JP"/>
              </w:rPr>
              <w:t>dvantages</w:t>
            </w:r>
            <w:r w:rsidR="00D65557" w:rsidRPr="00673A01">
              <w:rPr>
                <w:rFonts w:asciiTheme="majorHAnsi" w:hAnsiTheme="majorHAnsi"/>
                <w:b/>
                <w:color w:val="625E59"/>
                <w:sz w:val="14"/>
                <w:szCs w:val="14"/>
                <w:lang w:eastAsia="ja-JP"/>
              </w:rPr>
              <w:t>.</w:t>
            </w:r>
          </w:p>
        </w:tc>
        <w:tc>
          <w:tcPr>
            <w:tcW w:w="1800" w:type="dxa"/>
          </w:tcPr>
          <w:p w14:paraId="4997AF87" w14:textId="77777777" w:rsidR="005A03F0" w:rsidRDefault="00617CAA" w:rsidP="00190244">
            <w:pPr>
              <w:widowControl w:val="0"/>
              <w:autoSpaceDE w:val="0"/>
              <w:autoSpaceDN w:val="0"/>
              <w:adjustRightInd w:val="0"/>
              <w:rPr>
                <w:rFonts w:asciiTheme="majorHAnsi" w:hAnsiTheme="majorHAnsi"/>
                <w:color w:val="625E59"/>
                <w:sz w:val="14"/>
                <w:szCs w:val="14"/>
                <w:lang w:eastAsia="ja-JP"/>
              </w:rPr>
            </w:pPr>
            <w:r>
              <w:rPr>
                <w:rFonts w:asciiTheme="majorHAnsi" w:hAnsiTheme="majorHAnsi"/>
                <w:color w:val="625E59"/>
                <w:sz w:val="14"/>
                <w:szCs w:val="14"/>
                <w:lang w:eastAsia="ja-JP"/>
              </w:rPr>
              <w:t>Net-number-of-</w:t>
            </w:r>
            <w:r w:rsidR="00B561D1" w:rsidRPr="0033597A">
              <w:rPr>
                <w:rFonts w:asciiTheme="majorHAnsi" w:hAnsiTheme="majorHAnsi"/>
                <w:color w:val="625E59"/>
                <w:sz w:val="14"/>
                <w:szCs w:val="14"/>
                <w:lang w:eastAsia="ja-JP"/>
              </w:rPr>
              <w:t>migrants data is very well present</w:t>
            </w:r>
            <w:r w:rsidR="00014518">
              <w:rPr>
                <w:rFonts w:asciiTheme="majorHAnsi" w:hAnsiTheme="majorHAnsi"/>
                <w:color w:val="625E59"/>
                <w:sz w:val="14"/>
                <w:szCs w:val="14"/>
                <w:lang w:eastAsia="ja-JP"/>
              </w:rPr>
              <w:t xml:space="preserve">ed in a table. </w:t>
            </w:r>
          </w:p>
          <w:p w14:paraId="378CD736" w14:textId="77777777" w:rsidR="005A03F0" w:rsidRDefault="005A03F0" w:rsidP="00190244">
            <w:pPr>
              <w:widowControl w:val="0"/>
              <w:autoSpaceDE w:val="0"/>
              <w:autoSpaceDN w:val="0"/>
              <w:adjustRightInd w:val="0"/>
              <w:rPr>
                <w:rFonts w:asciiTheme="majorHAnsi" w:hAnsiTheme="majorHAnsi"/>
                <w:color w:val="625E59"/>
                <w:sz w:val="14"/>
                <w:szCs w:val="14"/>
                <w:lang w:eastAsia="ja-JP"/>
              </w:rPr>
            </w:pPr>
          </w:p>
          <w:p w14:paraId="2D81567D" w14:textId="5B35BC7C" w:rsidR="00190244" w:rsidRPr="00673A01" w:rsidRDefault="00014518" w:rsidP="00190244">
            <w:pPr>
              <w:widowControl w:val="0"/>
              <w:autoSpaceDE w:val="0"/>
              <w:autoSpaceDN w:val="0"/>
              <w:adjustRightInd w:val="0"/>
              <w:rPr>
                <w:rFonts w:asciiTheme="majorHAnsi" w:hAnsiTheme="majorHAnsi"/>
                <w:b/>
                <w:color w:val="625E59"/>
                <w:sz w:val="14"/>
                <w:szCs w:val="14"/>
                <w:lang w:eastAsia="ja-JP"/>
              </w:rPr>
            </w:pPr>
            <w:r w:rsidRPr="00673A01">
              <w:rPr>
                <w:rFonts w:asciiTheme="majorHAnsi" w:hAnsiTheme="majorHAnsi"/>
                <w:b/>
                <w:color w:val="625E59"/>
                <w:sz w:val="14"/>
                <w:szCs w:val="14"/>
                <w:lang w:eastAsia="ja-JP"/>
              </w:rPr>
              <w:t>C</w:t>
            </w:r>
            <w:r w:rsidR="00B561D1" w:rsidRPr="00673A01">
              <w:rPr>
                <w:rFonts w:asciiTheme="majorHAnsi" w:hAnsiTheme="majorHAnsi"/>
                <w:b/>
                <w:color w:val="625E59"/>
                <w:sz w:val="14"/>
                <w:szCs w:val="14"/>
                <w:lang w:eastAsia="ja-JP"/>
              </w:rPr>
              <w:t>olor cod</w:t>
            </w:r>
            <w:r w:rsidR="00A94595" w:rsidRPr="00673A01">
              <w:rPr>
                <w:rFonts w:asciiTheme="majorHAnsi" w:hAnsiTheme="majorHAnsi"/>
                <w:b/>
                <w:color w:val="625E59"/>
                <w:sz w:val="14"/>
                <w:szCs w:val="14"/>
                <w:lang w:eastAsia="ja-JP"/>
              </w:rPr>
              <w:t>es are not intuitively ordinal.</w:t>
            </w:r>
            <w:r w:rsidR="00B561D1" w:rsidRPr="00673A01">
              <w:rPr>
                <w:rFonts w:asciiTheme="majorHAnsi" w:hAnsiTheme="majorHAnsi"/>
                <w:b/>
                <w:color w:val="625E59"/>
                <w:sz w:val="14"/>
                <w:szCs w:val="14"/>
                <w:lang w:eastAsia="ja-JP"/>
              </w:rPr>
              <w:t xml:space="preserve"> </w:t>
            </w:r>
          </w:p>
        </w:tc>
        <w:tc>
          <w:tcPr>
            <w:tcW w:w="1440" w:type="dxa"/>
          </w:tcPr>
          <w:p w14:paraId="55DFB2CE" w14:textId="1F4E9A30" w:rsidR="00190244" w:rsidRPr="00673A01" w:rsidRDefault="00B561D1" w:rsidP="007A35FD">
            <w:pPr>
              <w:widowControl w:val="0"/>
              <w:autoSpaceDE w:val="0"/>
              <w:autoSpaceDN w:val="0"/>
              <w:adjustRightInd w:val="0"/>
              <w:rPr>
                <w:rFonts w:asciiTheme="majorHAnsi" w:hAnsiTheme="majorHAnsi"/>
                <w:b/>
                <w:color w:val="625E59"/>
                <w:sz w:val="14"/>
                <w:szCs w:val="14"/>
                <w:lang w:eastAsia="ja-JP"/>
              </w:rPr>
            </w:pPr>
            <w:r w:rsidRPr="00673A01">
              <w:rPr>
                <w:rFonts w:asciiTheme="majorHAnsi" w:hAnsiTheme="majorHAnsi"/>
                <w:b/>
                <w:color w:val="625E59"/>
                <w:sz w:val="14"/>
                <w:szCs w:val="14"/>
                <w:lang w:eastAsia="ja-JP"/>
              </w:rPr>
              <w:t>Choosing a more ordinal color scheme (low wavelength to high wa</w:t>
            </w:r>
            <w:r w:rsidR="007A35FD" w:rsidRPr="00673A01">
              <w:rPr>
                <w:rFonts w:asciiTheme="majorHAnsi" w:hAnsiTheme="majorHAnsi"/>
                <w:b/>
                <w:color w:val="625E59"/>
                <w:sz w:val="14"/>
                <w:szCs w:val="14"/>
                <w:lang w:eastAsia="ja-JP"/>
              </w:rPr>
              <w:t>velength) will have added value. Current u</w:t>
            </w:r>
            <w:r w:rsidR="00D65557" w:rsidRPr="00673A01">
              <w:rPr>
                <w:rFonts w:asciiTheme="majorHAnsi" w:hAnsiTheme="majorHAnsi"/>
                <w:b/>
                <w:color w:val="625E59"/>
                <w:sz w:val="14"/>
                <w:szCs w:val="14"/>
                <w:lang w:eastAsia="ja-JP"/>
              </w:rPr>
              <w:t>se of analogous colors is not a p</w:t>
            </w:r>
            <w:r w:rsidR="007A35FD" w:rsidRPr="00673A01">
              <w:rPr>
                <w:rFonts w:asciiTheme="majorHAnsi" w:hAnsiTheme="majorHAnsi"/>
                <w:b/>
                <w:color w:val="625E59"/>
                <w:sz w:val="14"/>
                <w:szCs w:val="14"/>
                <w:lang w:eastAsia="ja-JP"/>
              </w:rPr>
              <w:t>ositive, Complementary or split-</w:t>
            </w:r>
            <w:r w:rsidR="00D65557" w:rsidRPr="00673A01">
              <w:rPr>
                <w:rFonts w:asciiTheme="majorHAnsi" w:hAnsiTheme="majorHAnsi"/>
                <w:b/>
                <w:color w:val="625E59"/>
                <w:sz w:val="14"/>
                <w:szCs w:val="14"/>
                <w:lang w:eastAsia="ja-JP"/>
              </w:rPr>
              <w:t>complementary colors would have added a lot more value</w:t>
            </w:r>
          </w:p>
        </w:tc>
      </w:tr>
      <w:tr w:rsidR="00433E30" w:rsidRPr="005C0202" w14:paraId="797EEB88" w14:textId="77777777" w:rsidTr="00657ACF">
        <w:tc>
          <w:tcPr>
            <w:tcW w:w="1098" w:type="dxa"/>
          </w:tcPr>
          <w:p w14:paraId="390E377F" w14:textId="2E1834BC" w:rsidR="00190244" w:rsidRPr="00564726" w:rsidRDefault="00190244" w:rsidP="00190244">
            <w:pPr>
              <w:widowControl w:val="0"/>
              <w:autoSpaceDE w:val="0"/>
              <w:autoSpaceDN w:val="0"/>
              <w:adjustRightInd w:val="0"/>
              <w:rPr>
                <w:rFonts w:asciiTheme="majorHAnsi" w:hAnsiTheme="majorHAnsi"/>
                <w:b/>
                <w:color w:val="625E59"/>
                <w:sz w:val="14"/>
                <w:szCs w:val="14"/>
                <w:lang w:eastAsia="ja-JP"/>
              </w:rPr>
            </w:pPr>
            <w:r w:rsidRPr="00564726">
              <w:rPr>
                <w:rFonts w:asciiTheme="majorHAnsi" w:hAnsiTheme="majorHAnsi"/>
                <w:b/>
                <w:color w:val="625E59"/>
                <w:sz w:val="14"/>
                <w:szCs w:val="14"/>
                <w:lang w:eastAsia="ja-JP"/>
              </w:rPr>
              <w:t xml:space="preserve">Make </w:t>
            </w:r>
            <w:r w:rsidR="00CF40B0" w:rsidRPr="00564726">
              <w:rPr>
                <w:rFonts w:asciiTheme="majorHAnsi" w:hAnsiTheme="majorHAnsi"/>
                <w:b/>
                <w:color w:val="625E59"/>
                <w:sz w:val="14"/>
                <w:szCs w:val="14"/>
                <w:lang w:eastAsia="ja-JP"/>
              </w:rPr>
              <w:t xml:space="preserve">these </w:t>
            </w:r>
            <w:r w:rsidRPr="00564726">
              <w:rPr>
                <w:rFonts w:asciiTheme="majorHAnsi" w:hAnsiTheme="majorHAnsi"/>
                <w:b/>
                <w:color w:val="625E59"/>
                <w:sz w:val="14"/>
                <w:szCs w:val="14"/>
                <w:lang w:eastAsia="ja-JP"/>
              </w:rPr>
              <w:t>large data sets coherent</w:t>
            </w:r>
          </w:p>
        </w:tc>
        <w:tc>
          <w:tcPr>
            <w:tcW w:w="1530" w:type="dxa"/>
          </w:tcPr>
          <w:p w14:paraId="7173DD59" w14:textId="5BA8D729" w:rsidR="00190244" w:rsidRPr="00673A01" w:rsidRDefault="00D5693B" w:rsidP="00190244">
            <w:pPr>
              <w:widowControl w:val="0"/>
              <w:autoSpaceDE w:val="0"/>
              <w:autoSpaceDN w:val="0"/>
              <w:adjustRightInd w:val="0"/>
              <w:rPr>
                <w:rFonts w:asciiTheme="majorHAnsi" w:hAnsiTheme="majorHAnsi"/>
                <w:b/>
                <w:color w:val="625E59"/>
                <w:sz w:val="14"/>
                <w:szCs w:val="14"/>
                <w:lang w:eastAsia="ja-JP"/>
              </w:rPr>
            </w:pPr>
            <w:r w:rsidRPr="00673A01">
              <w:rPr>
                <w:rFonts w:asciiTheme="majorHAnsi" w:hAnsiTheme="majorHAnsi"/>
                <w:b/>
                <w:color w:val="625E59"/>
                <w:sz w:val="14"/>
                <w:szCs w:val="14"/>
                <w:lang w:eastAsia="ja-JP"/>
              </w:rPr>
              <w:t xml:space="preserve">Lack of </w:t>
            </w:r>
            <w:r w:rsidR="005644BA" w:rsidRPr="00673A01">
              <w:rPr>
                <w:rFonts w:asciiTheme="majorHAnsi" w:hAnsiTheme="majorHAnsi"/>
                <w:b/>
                <w:color w:val="625E59"/>
                <w:sz w:val="14"/>
                <w:szCs w:val="14"/>
                <w:lang w:eastAsia="ja-JP"/>
              </w:rPr>
              <w:t xml:space="preserve">sub </w:t>
            </w:r>
            <w:r w:rsidRPr="00673A01">
              <w:rPr>
                <w:rFonts w:asciiTheme="majorHAnsi" w:hAnsiTheme="majorHAnsi"/>
                <w:b/>
                <w:color w:val="625E59"/>
                <w:sz w:val="14"/>
                <w:szCs w:val="14"/>
                <w:lang w:eastAsia="ja-JP"/>
              </w:rPr>
              <w:t xml:space="preserve">color schemes for </w:t>
            </w:r>
            <w:r w:rsidR="005644BA" w:rsidRPr="00673A01">
              <w:rPr>
                <w:rFonts w:asciiTheme="majorHAnsi" w:hAnsiTheme="majorHAnsi"/>
                <w:b/>
                <w:color w:val="625E59"/>
                <w:sz w:val="14"/>
                <w:szCs w:val="14"/>
                <w:lang w:eastAsia="ja-JP"/>
              </w:rPr>
              <w:t xml:space="preserve">distinguishing </w:t>
            </w:r>
            <w:r w:rsidR="005F0E8F" w:rsidRPr="00673A01">
              <w:rPr>
                <w:rFonts w:asciiTheme="majorHAnsi" w:hAnsiTheme="majorHAnsi"/>
                <w:b/>
                <w:color w:val="625E59"/>
                <w:sz w:val="14"/>
                <w:szCs w:val="14"/>
                <w:lang w:eastAsia="ja-JP"/>
              </w:rPr>
              <w:t>Immigration</w:t>
            </w:r>
            <w:r w:rsidRPr="00673A01">
              <w:rPr>
                <w:rFonts w:asciiTheme="majorHAnsi" w:hAnsiTheme="majorHAnsi"/>
                <w:b/>
                <w:color w:val="625E59"/>
                <w:sz w:val="14"/>
                <w:szCs w:val="14"/>
                <w:lang w:eastAsia="ja-JP"/>
              </w:rPr>
              <w:t xml:space="preserve"> and Emigration</w:t>
            </w:r>
          </w:p>
        </w:tc>
        <w:tc>
          <w:tcPr>
            <w:tcW w:w="2970" w:type="dxa"/>
          </w:tcPr>
          <w:p w14:paraId="04FF93D9" w14:textId="60816B50" w:rsidR="00190244" w:rsidRPr="00673A01" w:rsidRDefault="00913F57" w:rsidP="00190244">
            <w:pPr>
              <w:widowControl w:val="0"/>
              <w:autoSpaceDE w:val="0"/>
              <w:autoSpaceDN w:val="0"/>
              <w:adjustRightInd w:val="0"/>
              <w:rPr>
                <w:rFonts w:asciiTheme="majorHAnsi" w:hAnsiTheme="majorHAnsi"/>
                <w:color w:val="625E59"/>
                <w:sz w:val="14"/>
                <w:szCs w:val="14"/>
                <w:lang w:eastAsia="ja-JP"/>
              </w:rPr>
            </w:pPr>
            <w:r w:rsidRPr="00673A01">
              <w:rPr>
                <w:rFonts w:asciiTheme="majorHAnsi" w:hAnsiTheme="majorHAnsi"/>
                <w:color w:val="625E59"/>
                <w:sz w:val="14"/>
                <w:szCs w:val="14"/>
                <w:lang w:eastAsia="ja-JP"/>
              </w:rPr>
              <w:t xml:space="preserve">The major migration types </w:t>
            </w:r>
            <w:r w:rsidR="0014564A" w:rsidRPr="00673A01">
              <w:rPr>
                <w:rFonts w:asciiTheme="majorHAnsi" w:hAnsiTheme="majorHAnsi"/>
                <w:color w:val="625E59"/>
                <w:sz w:val="14"/>
                <w:szCs w:val="14"/>
                <w:lang w:eastAsia="ja-JP"/>
              </w:rPr>
              <w:t xml:space="preserve">(Immigration and Emigration) </w:t>
            </w:r>
            <w:r w:rsidR="00725202" w:rsidRPr="00673A01">
              <w:rPr>
                <w:rFonts w:asciiTheme="majorHAnsi" w:hAnsiTheme="majorHAnsi"/>
                <w:color w:val="625E59"/>
                <w:sz w:val="14"/>
                <w:szCs w:val="14"/>
                <w:lang w:eastAsia="ja-JP"/>
              </w:rPr>
              <w:t>are not distinguished</w:t>
            </w:r>
            <w:r w:rsidRPr="00673A01">
              <w:rPr>
                <w:rFonts w:asciiTheme="majorHAnsi" w:hAnsiTheme="majorHAnsi"/>
                <w:color w:val="625E59"/>
                <w:sz w:val="14"/>
                <w:szCs w:val="14"/>
                <w:lang w:eastAsia="ja-JP"/>
              </w:rPr>
              <w:t>.</w:t>
            </w:r>
          </w:p>
        </w:tc>
        <w:tc>
          <w:tcPr>
            <w:tcW w:w="1800" w:type="dxa"/>
          </w:tcPr>
          <w:p w14:paraId="2576F0BB" w14:textId="77777777" w:rsidR="005A03F0" w:rsidRPr="00673A01" w:rsidRDefault="00D5693B" w:rsidP="00190244">
            <w:pPr>
              <w:widowControl w:val="0"/>
              <w:autoSpaceDE w:val="0"/>
              <w:autoSpaceDN w:val="0"/>
              <w:adjustRightInd w:val="0"/>
              <w:rPr>
                <w:rFonts w:asciiTheme="majorHAnsi" w:hAnsiTheme="majorHAnsi"/>
                <w:b/>
                <w:color w:val="625E59"/>
                <w:sz w:val="14"/>
                <w:szCs w:val="14"/>
                <w:lang w:eastAsia="ja-JP"/>
              </w:rPr>
            </w:pPr>
            <w:r w:rsidRPr="00673A01">
              <w:rPr>
                <w:rFonts w:asciiTheme="majorHAnsi" w:hAnsiTheme="majorHAnsi"/>
                <w:b/>
                <w:color w:val="625E59"/>
                <w:sz w:val="14"/>
                <w:szCs w:val="14"/>
                <w:lang w:eastAsia="ja-JP"/>
              </w:rPr>
              <w:t>Use of different color scales for Immigration and Emigration is</w:t>
            </w:r>
            <w:r w:rsidR="005A03F0" w:rsidRPr="00673A01">
              <w:rPr>
                <w:rFonts w:asciiTheme="majorHAnsi" w:hAnsiTheme="majorHAnsi"/>
                <w:b/>
                <w:color w:val="625E59"/>
                <w:sz w:val="14"/>
                <w:szCs w:val="14"/>
                <w:lang w:eastAsia="ja-JP"/>
              </w:rPr>
              <w:t xml:space="preserve"> nice.</w:t>
            </w:r>
          </w:p>
          <w:p w14:paraId="52769EB2" w14:textId="77777777" w:rsidR="005A03F0" w:rsidRDefault="005A03F0" w:rsidP="00190244">
            <w:pPr>
              <w:widowControl w:val="0"/>
              <w:autoSpaceDE w:val="0"/>
              <w:autoSpaceDN w:val="0"/>
              <w:adjustRightInd w:val="0"/>
              <w:rPr>
                <w:rFonts w:asciiTheme="majorHAnsi" w:hAnsiTheme="majorHAnsi"/>
                <w:color w:val="625E59"/>
                <w:sz w:val="14"/>
                <w:szCs w:val="14"/>
                <w:lang w:eastAsia="ja-JP"/>
              </w:rPr>
            </w:pPr>
          </w:p>
          <w:p w14:paraId="5BD7B0B1" w14:textId="1A756CDC" w:rsidR="00190244" w:rsidRPr="0033597A" w:rsidRDefault="00831149" w:rsidP="00190244">
            <w:pPr>
              <w:widowControl w:val="0"/>
              <w:autoSpaceDE w:val="0"/>
              <w:autoSpaceDN w:val="0"/>
              <w:adjustRightInd w:val="0"/>
              <w:rPr>
                <w:rFonts w:asciiTheme="majorHAnsi" w:hAnsiTheme="majorHAnsi"/>
                <w:color w:val="625E59"/>
                <w:sz w:val="14"/>
                <w:szCs w:val="14"/>
                <w:lang w:eastAsia="ja-JP"/>
              </w:rPr>
            </w:pPr>
            <w:r>
              <w:rPr>
                <w:rFonts w:asciiTheme="majorHAnsi" w:hAnsiTheme="majorHAnsi"/>
                <w:color w:val="625E59"/>
                <w:sz w:val="14"/>
                <w:szCs w:val="14"/>
                <w:lang w:eastAsia="ja-JP"/>
              </w:rPr>
              <w:t>However, c</w:t>
            </w:r>
            <w:r w:rsidR="00A5244B">
              <w:rPr>
                <w:rFonts w:asciiTheme="majorHAnsi" w:hAnsiTheme="majorHAnsi"/>
                <w:color w:val="625E59"/>
                <w:sz w:val="14"/>
                <w:szCs w:val="14"/>
                <w:lang w:eastAsia="ja-JP"/>
              </w:rPr>
              <w:t>olor use is</w:t>
            </w:r>
            <w:r w:rsidR="00D5693B" w:rsidRPr="0033597A">
              <w:rPr>
                <w:rFonts w:asciiTheme="majorHAnsi" w:hAnsiTheme="majorHAnsi"/>
                <w:color w:val="625E59"/>
                <w:sz w:val="14"/>
                <w:szCs w:val="14"/>
                <w:lang w:eastAsia="ja-JP"/>
              </w:rPr>
              <w:t xml:space="preserve"> inconsistent</w:t>
            </w:r>
            <w:r>
              <w:rPr>
                <w:rFonts w:asciiTheme="majorHAnsi" w:hAnsiTheme="majorHAnsi"/>
                <w:color w:val="625E59"/>
                <w:sz w:val="14"/>
                <w:szCs w:val="14"/>
                <w:lang w:eastAsia="ja-JP"/>
              </w:rPr>
              <w:t xml:space="preserve"> but tolerable</w:t>
            </w:r>
            <w:r w:rsidR="00D5693B" w:rsidRPr="0033597A">
              <w:rPr>
                <w:rFonts w:asciiTheme="majorHAnsi" w:hAnsiTheme="majorHAnsi"/>
                <w:color w:val="625E59"/>
                <w:sz w:val="14"/>
                <w:szCs w:val="14"/>
                <w:lang w:eastAsia="ja-JP"/>
              </w:rPr>
              <w:t>.</w:t>
            </w:r>
          </w:p>
        </w:tc>
        <w:tc>
          <w:tcPr>
            <w:tcW w:w="1440" w:type="dxa"/>
          </w:tcPr>
          <w:p w14:paraId="7CA24D5D" w14:textId="30383FDF" w:rsidR="00190244" w:rsidRPr="00673A01" w:rsidRDefault="00913F57" w:rsidP="00190244">
            <w:pPr>
              <w:widowControl w:val="0"/>
              <w:autoSpaceDE w:val="0"/>
              <w:autoSpaceDN w:val="0"/>
              <w:adjustRightInd w:val="0"/>
              <w:rPr>
                <w:rFonts w:asciiTheme="majorHAnsi" w:hAnsiTheme="majorHAnsi"/>
                <w:b/>
                <w:color w:val="625E59"/>
                <w:sz w:val="14"/>
                <w:szCs w:val="14"/>
                <w:lang w:eastAsia="ja-JP"/>
              </w:rPr>
            </w:pPr>
            <w:r w:rsidRPr="00673A01">
              <w:rPr>
                <w:rFonts w:asciiTheme="majorHAnsi" w:hAnsiTheme="majorHAnsi"/>
                <w:b/>
                <w:color w:val="625E59"/>
                <w:sz w:val="14"/>
                <w:szCs w:val="14"/>
                <w:lang w:eastAsia="ja-JP"/>
              </w:rPr>
              <w:t xml:space="preserve">   All major migration types </w:t>
            </w:r>
            <w:r w:rsidR="00332BC0" w:rsidRPr="00673A01">
              <w:rPr>
                <w:rFonts w:asciiTheme="majorHAnsi" w:hAnsiTheme="majorHAnsi"/>
                <w:b/>
                <w:color w:val="625E59"/>
                <w:sz w:val="14"/>
                <w:szCs w:val="14"/>
                <w:lang w:eastAsia="ja-JP"/>
              </w:rPr>
              <w:t xml:space="preserve">(Immigration and Migration) </w:t>
            </w:r>
            <w:r w:rsidRPr="00673A01">
              <w:rPr>
                <w:rFonts w:asciiTheme="majorHAnsi" w:hAnsiTheme="majorHAnsi"/>
                <w:b/>
                <w:color w:val="625E59"/>
                <w:sz w:val="14"/>
                <w:szCs w:val="14"/>
                <w:lang w:eastAsia="ja-JP"/>
              </w:rPr>
              <w:t>are identified</w:t>
            </w:r>
          </w:p>
        </w:tc>
      </w:tr>
      <w:tr w:rsidR="00433E30" w:rsidRPr="005C0202" w14:paraId="75BEF87A" w14:textId="77777777" w:rsidTr="00657ACF">
        <w:tc>
          <w:tcPr>
            <w:tcW w:w="1098" w:type="dxa"/>
          </w:tcPr>
          <w:p w14:paraId="151EBF43" w14:textId="5EFE079B" w:rsidR="00190244" w:rsidRPr="00564726" w:rsidRDefault="00190244" w:rsidP="00190244">
            <w:pPr>
              <w:widowControl w:val="0"/>
              <w:autoSpaceDE w:val="0"/>
              <w:autoSpaceDN w:val="0"/>
              <w:adjustRightInd w:val="0"/>
              <w:rPr>
                <w:rFonts w:asciiTheme="majorHAnsi" w:hAnsiTheme="majorHAnsi"/>
                <w:b/>
                <w:color w:val="625E59"/>
                <w:sz w:val="14"/>
                <w:szCs w:val="14"/>
                <w:lang w:eastAsia="ja-JP"/>
              </w:rPr>
            </w:pPr>
            <w:r w:rsidRPr="00564726">
              <w:rPr>
                <w:rFonts w:asciiTheme="majorHAnsi" w:hAnsiTheme="majorHAnsi"/>
                <w:b/>
                <w:color w:val="625E59"/>
                <w:sz w:val="14"/>
                <w:szCs w:val="14"/>
                <w:lang w:eastAsia="ja-JP"/>
              </w:rPr>
              <w:t xml:space="preserve">Reveal the data at several levels, top to granular, data and graphics layering and separation </w:t>
            </w:r>
          </w:p>
        </w:tc>
        <w:tc>
          <w:tcPr>
            <w:tcW w:w="1530" w:type="dxa"/>
          </w:tcPr>
          <w:p w14:paraId="579C34BF" w14:textId="6CA30C48" w:rsidR="00190244" w:rsidRPr="0033597A" w:rsidRDefault="00FC6866" w:rsidP="00283C00">
            <w:pPr>
              <w:widowControl w:val="0"/>
              <w:autoSpaceDE w:val="0"/>
              <w:autoSpaceDN w:val="0"/>
              <w:adjustRightInd w:val="0"/>
              <w:rPr>
                <w:rFonts w:asciiTheme="majorHAnsi" w:hAnsiTheme="majorHAnsi"/>
                <w:color w:val="625E59"/>
                <w:sz w:val="14"/>
                <w:szCs w:val="14"/>
                <w:lang w:eastAsia="ja-JP"/>
              </w:rPr>
            </w:pPr>
            <w:r w:rsidRPr="0033597A">
              <w:rPr>
                <w:rFonts w:asciiTheme="majorHAnsi" w:hAnsiTheme="majorHAnsi"/>
                <w:color w:val="625E59"/>
                <w:sz w:val="14"/>
                <w:szCs w:val="14"/>
                <w:lang w:eastAsia="ja-JP"/>
              </w:rPr>
              <w:t xml:space="preserve">Optimal number of </w:t>
            </w:r>
            <w:r w:rsidR="00283C00">
              <w:rPr>
                <w:rFonts w:asciiTheme="majorHAnsi" w:hAnsiTheme="majorHAnsi"/>
                <w:color w:val="625E59"/>
                <w:sz w:val="14"/>
                <w:szCs w:val="14"/>
                <w:lang w:eastAsia="ja-JP"/>
              </w:rPr>
              <w:t xml:space="preserve">data </w:t>
            </w:r>
            <w:r w:rsidRPr="0033597A">
              <w:rPr>
                <w:rFonts w:asciiTheme="majorHAnsi" w:hAnsiTheme="majorHAnsi"/>
                <w:color w:val="625E59"/>
                <w:sz w:val="14"/>
                <w:szCs w:val="14"/>
                <w:lang w:eastAsia="ja-JP"/>
              </w:rPr>
              <w:t xml:space="preserve">layers </w:t>
            </w:r>
            <w:r w:rsidR="00283C00">
              <w:rPr>
                <w:rFonts w:asciiTheme="majorHAnsi" w:hAnsiTheme="majorHAnsi"/>
                <w:color w:val="625E59"/>
                <w:sz w:val="14"/>
                <w:szCs w:val="14"/>
                <w:lang w:eastAsia="ja-JP"/>
              </w:rPr>
              <w:t xml:space="preserve">is </w:t>
            </w:r>
            <w:r w:rsidRPr="0033597A">
              <w:rPr>
                <w:rFonts w:asciiTheme="majorHAnsi" w:hAnsiTheme="majorHAnsi"/>
                <w:color w:val="625E59"/>
                <w:sz w:val="14"/>
                <w:szCs w:val="14"/>
                <w:lang w:eastAsia="ja-JP"/>
              </w:rPr>
              <w:t>ava</w:t>
            </w:r>
            <w:r w:rsidR="00283C00">
              <w:rPr>
                <w:rFonts w:asciiTheme="majorHAnsi" w:hAnsiTheme="majorHAnsi"/>
                <w:color w:val="625E59"/>
                <w:sz w:val="14"/>
                <w:szCs w:val="14"/>
                <w:lang w:eastAsia="ja-JP"/>
              </w:rPr>
              <w:t xml:space="preserve">ilable. Top level is intuitive. </w:t>
            </w:r>
          </w:p>
        </w:tc>
        <w:tc>
          <w:tcPr>
            <w:tcW w:w="2970" w:type="dxa"/>
          </w:tcPr>
          <w:p w14:paraId="1EA06133" w14:textId="5FFECDE0" w:rsidR="00190244" w:rsidRPr="00673A01" w:rsidRDefault="00283C00" w:rsidP="00190244">
            <w:pPr>
              <w:widowControl w:val="0"/>
              <w:autoSpaceDE w:val="0"/>
              <w:autoSpaceDN w:val="0"/>
              <w:adjustRightInd w:val="0"/>
              <w:rPr>
                <w:rFonts w:asciiTheme="majorHAnsi" w:hAnsiTheme="majorHAnsi"/>
                <w:b/>
                <w:color w:val="625E59"/>
                <w:sz w:val="14"/>
                <w:szCs w:val="14"/>
                <w:lang w:eastAsia="ja-JP"/>
              </w:rPr>
            </w:pPr>
            <w:r w:rsidRPr="00673A01">
              <w:rPr>
                <w:rFonts w:asciiTheme="majorHAnsi" w:hAnsiTheme="majorHAnsi"/>
                <w:b/>
                <w:color w:val="625E59"/>
                <w:sz w:val="14"/>
                <w:szCs w:val="14"/>
                <w:lang w:eastAsia="ja-JP"/>
              </w:rPr>
              <w:t>Data visualization levels below the top levels are hard to access but do have granular data</w:t>
            </w:r>
          </w:p>
        </w:tc>
        <w:tc>
          <w:tcPr>
            <w:tcW w:w="1800" w:type="dxa"/>
          </w:tcPr>
          <w:p w14:paraId="09BDA4E4" w14:textId="7EB4F642" w:rsidR="00190244" w:rsidRPr="0033597A" w:rsidRDefault="005A03F0" w:rsidP="00190244">
            <w:pPr>
              <w:widowControl w:val="0"/>
              <w:autoSpaceDE w:val="0"/>
              <w:autoSpaceDN w:val="0"/>
              <w:adjustRightInd w:val="0"/>
              <w:rPr>
                <w:rFonts w:asciiTheme="majorHAnsi" w:hAnsiTheme="majorHAnsi"/>
                <w:color w:val="625E59"/>
                <w:sz w:val="14"/>
                <w:szCs w:val="14"/>
                <w:lang w:eastAsia="ja-JP"/>
              </w:rPr>
            </w:pPr>
            <w:r>
              <w:rPr>
                <w:rFonts w:asciiTheme="majorHAnsi" w:hAnsiTheme="majorHAnsi"/>
                <w:color w:val="625E59"/>
                <w:sz w:val="14"/>
                <w:szCs w:val="14"/>
                <w:lang w:eastAsia="ja-JP"/>
              </w:rPr>
              <w:t xml:space="preserve">      </w:t>
            </w:r>
          </w:p>
        </w:tc>
        <w:tc>
          <w:tcPr>
            <w:tcW w:w="1440" w:type="dxa"/>
          </w:tcPr>
          <w:p w14:paraId="4B6B7D9E" w14:textId="616F82A7" w:rsidR="00190244" w:rsidRPr="00673A01" w:rsidRDefault="005A03F0" w:rsidP="00190244">
            <w:pPr>
              <w:widowControl w:val="0"/>
              <w:autoSpaceDE w:val="0"/>
              <w:autoSpaceDN w:val="0"/>
              <w:adjustRightInd w:val="0"/>
              <w:rPr>
                <w:rFonts w:asciiTheme="majorHAnsi" w:hAnsiTheme="majorHAnsi"/>
                <w:b/>
                <w:color w:val="625E59"/>
                <w:sz w:val="14"/>
                <w:szCs w:val="14"/>
                <w:lang w:eastAsia="ja-JP"/>
              </w:rPr>
            </w:pPr>
            <w:r w:rsidRPr="00673A01">
              <w:rPr>
                <w:rFonts w:asciiTheme="majorHAnsi" w:hAnsiTheme="majorHAnsi"/>
                <w:b/>
                <w:color w:val="625E59"/>
                <w:sz w:val="14"/>
                <w:szCs w:val="14"/>
                <w:lang w:eastAsia="ja-JP"/>
              </w:rPr>
              <w:t xml:space="preserve">   </w:t>
            </w:r>
            <w:r w:rsidR="00FC6866" w:rsidRPr="00673A01">
              <w:rPr>
                <w:rFonts w:asciiTheme="majorHAnsi" w:hAnsiTheme="majorHAnsi"/>
                <w:b/>
                <w:color w:val="625E59"/>
                <w:sz w:val="14"/>
                <w:szCs w:val="14"/>
                <w:lang w:eastAsia="ja-JP"/>
              </w:rPr>
              <w:t xml:space="preserve">Optimal </w:t>
            </w:r>
            <w:proofErr w:type="gramStart"/>
            <w:r w:rsidR="00FC6866" w:rsidRPr="00673A01">
              <w:rPr>
                <w:rFonts w:asciiTheme="majorHAnsi" w:hAnsiTheme="majorHAnsi"/>
                <w:b/>
                <w:color w:val="625E59"/>
                <w:sz w:val="14"/>
                <w:szCs w:val="14"/>
                <w:lang w:eastAsia="ja-JP"/>
              </w:rPr>
              <w:t xml:space="preserve">number of </w:t>
            </w:r>
            <w:r w:rsidR="00C96C1B" w:rsidRPr="00673A01">
              <w:rPr>
                <w:rFonts w:asciiTheme="majorHAnsi" w:hAnsiTheme="majorHAnsi"/>
                <w:b/>
                <w:color w:val="625E59"/>
                <w:sz w:val="14"/>
                <w:szCs w:val="14"/>
                <w:lang w:eastAsia="ja-JP"/>
              </w:rPr>
              <w:t xml:space="preserve">visualization </w:t>
            </w:r>
            <w:r w:rsidR="00FC6866" w:rsidRPr="00673A01">
              <w:rPr>
                <w:rFonts w:asciiTheme="majorHAnsi" w:hAnsiTheme="majorHAnsi"/>
                <w:b/>
                <w:color w:val="625E59"/>
                <w:sz w:val="14"/>
                <w:szCs w:val="14"/>
                <w:lang w:eastAsia="ja-JP"/>
              </w:rPr>
              <w:t>layers</w:t>
            </w:r>
            <w:r w:rsidR="00056CF6" w:rsidRPr="00673A01">
              <w:rPr>
                <w:rFonts w:asciiTheme="majorHAnsi" w:hAnsiTheme="majorHAnsi"/>
                <w:b/>
                <w:color w:val="625E59"/>
                <w:sz w:val="14"/>
                <w:szCs w:val="14"/>
                <w:lang w:eastAsia="ja-JP"/>
              </w:rPr>
              <w:t xml:space="preserve"> </w:t>
            </w:r>
            <w:r w:rsidR="00C96C1B" w:rsidRPr="00673A01">
              <w:rPr>
                <w:rFonts w:asciiTheme="majorHAnsi" w:hAnsiTheme="majorHAnsi"/>
                <w:b/>
                <w:color w:val="625E59"/>
                <w:sz w:val="14"/>
                <w:szCs w:val="14"/>
                <w:lang w:eastAsia="ja-JP"/>
              </w:rPr>
              <w:t>are</w:t>
            </w:r>
            <w:proofErr w:type="gramEnd"/>
            <w:r w:rsidR="00FC6866" w:rsidRPr="00673A01">
              <w:rPr>
                <w:rFonts w:asciiTheme="majorHAnsi" w:hAnsiTheme="majorHAnsi"/>
                <w:b/>
                <w:color w:val="625E59"/>
                <w:sz w:val="14"/>
                <w:szCs w:val="14"/>
                <w:lang w:eastAsia="ja-JP"/>
              </w:rPr>
              <w:t xml:space="preserve"> available. Top level is intuitive, lower levels easy to </w:t>
            </w:r>
            <w:r w:rsidRPr="00673A01">
              <w:rPr>
                <w:rFonts w:asciiTheme="majorHAnsi" w:hAnsiTheme="majorHAnsi"/>
                <w:b/>
                <w:color w:val="625E59"/>
                <w:sz w:val="14"/>
                <w:szCs w:val="14"/>
                <w:lang w:eastAsia="ja-JP"/>
              </w:rPr>
              <w:t>access and</w:t>
            </w:r>
            <w:r w:rsidR="00FC6866" w:rsidRPr="00673A01">
              <w:rPr>
                <w:rFonts w:asciiTheme="majorHAnsi" w:hAnsiTheme="majorHAnsi"/>
                <w:b/>
                <w:color w:val="625E59"/>
                <w:sz w:val="14"/>
                <w:szCs w:val="14"/>
                <w:lang w:eastAsia="ja-JP"/>
              </w:rPr>
              <w:t xml:space="preserve"> interpret</w:t>
            </w:r>
          </w:p>
        </w:tc>
      </w:tr>
      <w:tr w:rsidR="00433E30" w:rsidRPr="005C0202" w14:paraId="67F258A1" w14:textId="77777777" w:rsidTr="00657ACF">
        <w:tc>
          <w:tcPr>
            <w:tcW w:w="1098" w:type="dxa"/>
          </w:tcPr>
          <w:p w14:paraId="12F90307" w14:textId="2AE70438" w:rsidR="00190244" w:rsidRPr="00564726" w:rsidRDefault="00D65557" w:rsidP="00190244">
            <w:pPr>
              <w:widowControl w:val="0"/>
              <w:autoSpaceDE w:val="0"/>
              <w:autoSpaceDN w:val="0"/>
              <w:adjustRightInd w:val="0"/>
              <w:rPr>
                <w:rFonts w:asciiTheme="majorHAnsi" w:hAnsiTheme="majorHAnsi"/>
                <w:b/>
                <w:color w:val="625E59"/>
                <w:sz w:val="14"/>
                <w:szCs w:val="14"/>
                <w:lang w:eastAsia="ja-JP"/>
              </w:rPr>
            </w:pPr>
            <w:r w:rsidRPr="00564726">
              <w:rPr>
                <w:rFonts w:asciiTheme="majorHAnsi" w:hAnsiTheme="majorHAnsi"/>
                <w:b/>
                <w:color w:val="625E59"/>
                <w:sz w:val="14"/>
                <w:szCs w:val="14"/>
                <w:lang w:eastAsia="ja-JP"/>
              </w:rPr>
              <w:t>Data to ink ratio</w:t>
            </w:r>
          </w:p>
        </w:tc>
        <w:tc>
          <w:tcPr>
            <w:tcW w:w="1530" w:type="dxa"/>
          </w:tcPr>
          <w:p w14:paraId="75F5F06B" w14:textId="13414623" w:rsidR="00190244" w:rsidRPr="00673A01" w:rsidRDefault="006A2E89" w:rsidP="00190244">
            <w:pPr>
              <w:widowControl w:val="0"/>
              <w:autoSpaceDE w:val="0"/>
              <w:autoSpaceDN w:val="0"/>
              <w:adjustRightInd w:val="0"/>
              <w:rPr>
                <w:rFonts w:asciiTheme="majorHAnsi" w:hAnsiTheme="majorHAnsi"/>
                <w:b/>
                <w:color w:val="625E59"/>
                <w:sz w:val="14"/>
                <w:szCs w:val="14"/>
                <w:lang w:eastAsia="ja-JP"/>
              </w:rPr>
            </w:pPr>
            <w:r w:rsidRPr="00673A01">
              <w:rPr>
                <w:rFonts w:asciiTheme="majorHAnsi" w:hAnsiTheme="majorHAnsi"/>
                <w:b/>
                <w:color w:val="625E59"/>
                <w:sz w:val="14"/>
                <w:szCs w:val="14"/>
                <w:lang w:eastAsia="ja-JP"/>
              </w:rPr>
              <w:t>Use of a hue for the o</w:t>
            </w:r>
            <w:r w:rsidR="00D65557" w:rsidRPr="00673A01">
              <w:rPr>
                <w:rFonts w:asciiTheme="majorHAnsi" w:hAnsiTheme="majorHAnsi"/>
                <w:b/>
                <w:color w:val="625E59"/>
                <w:sz w:val="14"/>
                <w:szCs w:val="14"/>
                <w:lang w:eastAsia="ja-JP"/>
              </w:rPr>
              <w:t>cean colors is a waste of ink</w:t>
            </w:r>
          </w:p>
        </w:tc>
        <w:tc>
          <w:tcPr>
            <w:tcW w:w="2970" w:type="dxa"/>
          </w:tcPr>
          <w:p w14:paraId="771520A5" w14:textId="150C8200" w:rsidR="00190244" w:rsidRPr="00673A01" w:rsidRDefault="00B15FE8" w:rsidP="00190244">
            <w:pPr>
              <w:widowControl w:val="0"/>
              <w:autoSpaceDE w:val="0"/>
              <w:autoSpaceDN w:val="0"/>
              <w:adjustRightInd w:val="0"/>
              <w:rPr>
                <w:rFonts w:asciiTheme="majorHAnsi" w:hAnsiTheme="majorHAnsi"/>
                <w:b/>
                <w:color w:val="625E59"/>
                <w:sz w:val="14"/>
                <w:szCs w:val="14"/>
                <w:lang w:eastAsia="ja-JP"/>
              </w:rPr>
            </w:pPr>
            <w:proofErr w:type="spellStart"/>
            <w:r w:rsidRPr="00673A01">
              <w:rPr>
                <w:rFonts w:asciiTheme="majorHAnsi" w:hAnsiTheme="majorHAnsi"/>
                <w:b/>
                <w:color w:val="625E59"/>
                <w:sz w:val="14"/>
                <w:szCs w:val="14"/>
                <w:lang w:eastAsia="ja-JP"/>
              </w:rPr>
              <w:t>Tufte</w:t>
            </w:r>
            <w:proofErr w:type="spellEnd"/>
            <w:r w:rsidRPr="00673A01">
              <w:rPr>
                <w:rFonts w:asciiTheme="majorHAnsi" w:hAnsiTheme="majorHAnsi"/>
                <w:b/>
                <w:color w:val="625E59"/>
                <w:sz w:val="14"/>
                <w:szCs w:val="14"/>
                <w:lang w:eastAsia="ja-JP"/>
              </w:rPr>
              <w:t xml:space="preserve"> will have a lot to say</w:t>
            </w:r>
            <w:r w:rsidR="005879AD" w:rsidRPr="00673A01">
              <w:rPr>
                <w:rFonts w:asciiTheme="majorHAnsi" w:hAnsiTheme="majorHAnsi"/>
                <w:b/>
                <w:color w:val="625E59"/>
                <w:sz w:val="14"/>
                <w:szCs w:val="14"/>
                <w:lang w:eastAsia="ja-JP"/>
              </w:rPr>
              <w:t xml:space="preserve"> about the waste of</w:t>
            </w:r>
            <w:r w:rsidR="0035196C" w:rsidRPr="00673A01">
              <w:rPr>
                <w:rFonts w:asciiTheme="majorHAnsi" w:hAnsiTheme="majorHAnsi"/>
                <w:b/>
                <w:color w:val="625E59"/>
                <w:sz w:val="14"/>
                <w:szCs w:val="14"/>
                <w:lang w:eastAsia="ja-JP"/>
              </w:rPr>
              <w:t xml:space="preserve"> printer ink to display oceans</w:t>
            </w:r>
            <w:r w:rsidRPr="00673A01">
              <w:rPr>
                <w:rFonts w:asciiTheme="majorHAnsi" w:hAnsiTheme="majorHAnsi"/>
                <w:b/>
                <w:color w:val="625E59"/>
                <w:sz w:val="14"/>
                <w:szCs w:val="14"/>
                <w:lang w:eastAsia="ja-JP"/>
              </w:rPr>
              <w:t>!</w:t>
            </w:r>
          </w:p>
        </w:tc>
        <w:tc>
          <w:tcPr>
            <w:tcW w:w="1800" w:type="dxa"/>
          </w:tcPr>
          <w:p w14:paraId="009249D0" w14:textId="58ED6A18" w:rsidR="00190244" w:rsidRPr="00673A01" w:rsidRDefault="006A2E89" w:rsidP="00190244">
            <w:pPr>
              <w:widowControl w:val="0"/>
              <w:autoSpaceDE w:val="0"/>
              <w:autoSpaceDN w:val="0"/>
              <w:adjustRightInd w:val="0"/>
              <w:rPr>
                <w:rFonts w:asciiTheme="majorHAnsi" w:hAnsiTheme="majorHAnsi"/>
                <w:b/>
                <w:color w:val="625E59"/>
                <w:sz w:val="14"/>
                <w:szCs w:val="14"/>
                <w:lang w:eastAsia="ja-JP"/>
              </w:rPr>
            </w:pPr>
            <w:r w:rsidRPr="00673A01">
              <w:rPr>
                <w:rFonts w:asciiTheme="majorHAnsi" w:hAnsiTheme="majorHAnsi"/>
                <w:b/>
                <w:color w:val="625E59"/>
                <w:sz w:val="14"/>
                <w:szCs w:val="14"/>
                <w:lang w:eastAsia="ja-JP"/>
              </w:rPr>
              <w:t>Use of clear white for the o</w:t>
            </w:r>
            <w:r w:rsidR="00D65557" w:rsidRPr="00673A01">
              <w:rPr>
                <w:rFonts w:asciiTheme="majorHAnsi" w:hAnsiTheme="majorHAnsi"/>
                <w:b/>
                <w:color w:val="625E59"/>
                <w:sz w:val="14"/>
                <w:szCs w:val="14"/>
                <w:lang w:eastAsia="ja-JP"/>
              </w:rPr>
              <w:t>ceans is a very optimal way to represent</w:t>
            </w:r>
          </w:p>
        </w:tc>
        <w:tc>
          <w:tcPr>
            <w:tcW w:w="1440" w:type="dxa"/>
          </w:tcPr>
          <w:p w14:paraId="07266B63" w14:textId="3638736C" w:rsidR="00190244" w:rsidRPr="00673A01" w:rsidRDefault="00A97C67" w:rsidP="00190244">
            <w:pPr>
              <w:widowControl w:val="0"/>
              <w:autoSpaceDE w:val="0"/>
              <w:autoSpaceDN w:val="0"/>
              <w:adjustRightInd w:val="0"/>
              <w:rPr>
                <w:rFonts w:asciiTheme="majorHAnsi" w:hAnsiTheme="majorHAnsi"/>
                <w:b/>
                <w:color w:val="625E59"/>
                <w:sz w:val="14"/>
                <w:szCs w:val="14"/>
                <w:lang w:eastAsia="ja-JP"/>
              </w:rPr>
            </w:pPr>
            <w:r w:rsidRPr="00673A01">
              <w:rPr>
                <w:rFonts w:asciiTheme="majorHAnsi" w:hAnsiTheme="majorHAnsi"/>
                <w:b/>
                <w:color w:val="625E59"/>
                <w:sz w:val="14"/>
                <w:szCs w:val="14"/>
                <w:lang w:eastAsia="ja-JP"/>
              </w:rPr>
              <w:t xml:space="preserve">   P</w:t>
            </w:r>
            <w:r w:rsidR="00B15FE8" w:rsidRPr="00673A01">
              <w:rPr>
                <w:rFonts w:asciiTheme="majorHAnsi" w:hAnsiTheme="majorHAnsi"/>
                <w:b/>
                <w:color w:val="625E59"/>
                <w:sz w:val="14"/>
                <w:szCs w:val="14"/>
                <w:lang w:eastAsia="ja-JP"/>
              </w:rPr>
              <w:t>rinter</w:t>
            </w:r>
            <w:r w:rsidRPr="00673A01">
              <w:rPr>
                <w:rFonts w:asciiTheme="majorHAnsi" w:hAnsiTheme="majorHAnsi"/>
                <w:b/>
                <w:color w:val="625E59"/>
                <w:sz w:val="14"/>
                <w:szCs w:val="14"/>
                <w:lang w:eastAsia="ja-JP"/>
              </w:rPr>
              <w:t xml:space="preserve"> friendly!</w:t>
            </w:r>
            <w:r w:rsidR="00B15FE8" w:rsidRPr="00673A01">
              <w:rPr>
                <w:rFonts w:asciiTheme="majorHAnsi" w:hAnsiTheme="majorHAnsi"/>
                <w:b/>
                <w:color w:val="625E59"/>
                <w:sz w:val="14"/>
                <w:szCs w:val="14"/>
                <w:lang w:eastAsia="ja-JP"/>
              </w:rPr>
              <w:t xml:space="preserve"> </w:t>
            </w:r>
            <w:r w:rsidRPr="00673A01">
              <w:rPr>
                <w:rFonts w:asciiTheme="majorHAnsi" w:hAnsiTheme="majorHAnsi"/>
                <w:b/>
                <w:color w:val="625E59"/>
                <w:sz w:val="14"/>
                <w:szCs w:val="14"/>
                <w:lang w:eastAsia="ja-JP"/>
              </w:rPr>
              <w:t xml:space="preserve">                </w:t>
            </w:r>
          </w:p>
        </w:tc>
      </w:tr>
    </w:tbl>
    <w:p w14:paraId="15C4F4D8" w14:textId="7FE1D364" w:rsidR="00EB3695" w:rsidRDefault="00EB3695" w:rsidP="00577174">
      <w:pPr>
        <w:widowControl w:val="0"/>
        <w:autoSpaceDE w:val="0"/>
        <w:autoSpaceDN w:val="0"/>
        <w:adjustRightInd w:val="0"/>
        <w:rPr>
          <w:sz w:val="16"/>
          <w:szCs w:val="16"/>
          <w:lang w:eastAsia="ja-JP"/>
        </w:rPr>
      </w:pPr>
    </w:p>
    <w:p w14:paraId="3FF1C322" w14:textId="77777777" w:rsidR="00EB3695" w:rsidRDefault="00EB3695" w:rsidP="00577174">
      <w:pPr>
        <w:widowControl w:val="0"/>
        <w:autoSpaceDE w:val="0"/>
        <w:autoSpaceDN w:val="0"/>
        <w:adjustRightInd w:val="0"/>
        <w:rPr>
          <w:sz w:val="16"/>
          <w:szCs w:val="16"/>
          <w:lang w:eastAsia="ja-JP"/>
        </w:rPr>
      </w:pPr>
    </w:p>
    <w:p w14:paraId="7F685154" w14:textId="5E6FEC89" w:rsidR="00497D5C" w:rsidRDefault="005E7852" w:rsidP="00577174">
      <w:pPr>
        <w:widowControl w:val="0"/>
        <w:autoSpaceDE w:val="0"/>
        <w:autoSpaceDN w:val="0"/>
        <w:adjustRightInd w:val="0"/>
        <w:rPr>
          <w:i/>
          <w:sz w:val="16"/>
          <w:szCs w:val="16"/>
          <w:lang w:eastAsia="ja-JP"/>
        </w:rPr>
      </w:pPr>
      <w:r w:rsidRPr="0074738A">
        <w:rPr>
          <w:i/>
          <w:sz w:val="16"/>
          <w:szCs w:val="16"/>
          <w:lang w:eastAsia="ja-JP"/>
        </w:rPr>
        <w:t xml:space="preserve">Footnote 1: </w:t>
      </w:r>
      <w:r w:rsidR="00497D5C" w:rsidRPr="00920EBA">
        <w:rPr>
          <w:i/>
          <w:sz w:val="16"/>
          <w:szCs w:val="16"/>
          <w:lang w:eastAsia="ja-JP"/>
        </w:rPr>
        <w:t>Because visual presentation</w:t>
      </w:r>
      <w:r w:rsidR="00497D5C">
        <w:rPr>
          <w:i/>
          <w:sz w:val="16"/>
          <w:szCs w:val="16"/>
          <w:lang w:eastAsia="ja-JP"/>
        </w:rPr>
        <w:t>s</w:t>
      </w:r>
      <w:r w:rsidR="00497D5C" w:rsidRPr="00920EBA">
        <w:rPr>
          <w:i/>
          <w:sz w:val="16"/>
          <w:szCs w:val="16"/>
          <w:lang w:eastAsia="ja-JP"/>
        </w:rPr>
        <w:t xml:space="preserve"> vary depending upon context and usage, </w:t>
      </w:r>
      <w:r w:rsidR="00497D5C">
        <w:rPr>
          <w:i/>
          <w:sz w:val="16"/>
          <w:szCs w:val="16"/>
          <w:lang w:eastAsia="ja-JP"/>
        </w:rPr>
        <w:t xml:space="preserve">in order </w:t>
      </w:r>
      <w:r w:rsidR="00497D5C" w:rsidRPr="00920EBA">
        <w:rPr>
          <w:i/>
          <w:sz w:val="16"/>
          <w:szCs w:val="16"/>
          <w:lang w:eastAsia="ja-JP"/>
        </w:rPr>
        <w:t>to make a fair comparison of data visualizations, this paper focuses on the same topic as presented by two independent entities and intended for similar audiences so that only the data visualization parts could be compared.</w:t>
      </w:r>
    </w:p>
    <w:p w14:paraId="3CE50AB9" w14:textId="77777777" w:rsidR="00497D5C" w:rsidRDefault="00497D5C" w:rsidP="00577174">
      <w:pPr>
        <w:widowControl w:val="0"/>
        <w:autoSpaceDE w:val="0"/>
        <w:autoSpaceDN w:val="0"/>
        <w:adjustRightInd w:val="0"/>
        <w:rPr>
          <w:i/>
          <w:sz w:val="16"/>
          <w:szCs w:val="16"/>
          <w:lang w:eastAsia="ja-JP"/>
        </w:rPr>
      </w:pPr>
    </w:p>
    <w:p w14:paraId="68BD11D8" w14:textId="39D93FC3" w:rsidR="00577174" w:rsidRDefault="00497D5C" w:rsidP="00577174">
      <w:pPr>
        <w:widowControl w:val="0"/>
        <w:autoSpaceDE w:val="0"/>
        <w:autoSpaceDN w:val="0"/>
        <w:adjustRightInd w:val="0"/>
        <w:rPr>
          <w:i/>
          <w:sz w:val="16"/>
          <w:szCs w:val="16"/>
          <w:lang w:eastAsia="ja-JP"/>
        </w:rPr>
      </w:pPr>
      <w:r>
        <w:rPr>
          <w:i/>
          <w:sz w:val="16"/>
          <w:szCs w:val="16"/>
          <w:lang w:eastAsia="ja-JP"/>
        </w:rPr>
        <w:t xml:space="preserve">Footnote 2: </w:t>
      </w:r>
      <w:r w:rsidR="005E7852" w:rsidRPr="0074738A">
        <w:rPr>
          <w:i/>
          <w:sz w:val="16"/>
          <w:szCs w:val="16"/>
          <w:lang w:eastAsia="ja-JP"/>
        </w:rPr>
        <w:t xml:space="preserve">The use of </w:t>
      </w:r>
      <w:r w:rsidR="00577174" w:rsidRPr="0074738A">
        <w:rPr>
          <w:i/>
          <w:sz w:val="16"/>
          <w:szCs w:val="16"/>
          <w:lang w:eastAsia="ja-JP"/>
        </w:rPr>
        <w:t xml:space="preserve">dynamic </w:t>
      </w:r>
      <w:r w:rsidR="005E7852" w:rsidRPr="0074738A">
        <w:rPr>
          <w:i/>
          <w:sz w:val="16"/>
          <w:szCs w:val="16"/>
          <w:lang w:eastAsia="ja-JP"/>
        </w:rPr>
        <w:t xml:space="preserve">web based </w:t>
      </w:r>
      <w:r w:rsidR="00577174" w:rsidRPr="0074738A">
        <w:rPr>
          <w:i/>
          <w:sz w:val="16"/>
          <w:szCs w:val="16"/>
          <w:lang w:eastAsia="ja-JP"/>
        </w:rPr>
        <w:t>chart</w:t>
      </w:r>
      <w:r w:rsidR="00EB3695" w:rsidRPr="0074738A">
        <w:rPr>
          <w:i/>
          <w:sz w:val="16"/>
          <w:szCs w:val="16"/>
          <w:lang w:eastAsia="ja-JP"/>
        </w:rPr>
        <w:t xml:space="preserve">s is a great </w:t>
      </w:r>
      <w:r w:rsidR="005E7852" w:rsidRPr="0074738A">
        <w:rPr>
          <w:i/>
          <w:sz w:val="16"/>
          <w:szCs w:val="16"/>
          <w:lang w:eastAsia="ja-JP"/>
        </w:rPr>
        <w:t xml:space="preserve">way to clarify and communicate big data. </w:t>
      </w:r>
      <w:r w:rsidR="00577174" w:rsidRPr="0074738A">
        <w:rPr>
          <w:i/>
          <w:sz w:val="16"/>
          <w:szCs w:val="16"/>
          <w:lang w:eastAsia="ja-JP"/>
        </w:rPr>
        <w:t>The ability to adjust variables and interpret the data</w:t>
      </w:r>
      <w:r w:rsidR="00EB3695" w:rsidRPr="0074738A">
        <w:rPr>
          <w:i/>
          <w:sz w:val="16"/>
          <w:szCs w:val="16"/>
          <w:lang w:eastAsia="ja-JP"/>
        </w:rPr>
        <w:t xml:space="preserve"> </w:t>
      </w:r>
      <w:r w:rsidR="00147C74" w:rsidRPr="0074738A">
        <w:rPr>
          <w:i/>
          <w:sz w:val="16"/>
          <w:szCs w:val="16"/>
          <w:lang w:eastAsia="ja-JP"/>
        </w:rPr>
        <w:t xml:space="preserve">in real time </w:t>
      </w:r>
      <w:r w:rsidR="00577174" w:rsidRPr="0074738A">
        <w:rPr>
          <w:i/>
          <w:sz w:val="16"/>
          <w:szCs w:val="16"/>
          <w:lang w:eastAsia="ja-JP"/>
        </w:rPr>
        <w:t xml:space="preserve">makes </w:t>
      </w:r>
      <w:r w:rsidR="00147C74" w:rsidRPr="0074738A">
        <w:rPr>
          <w:i/>
          <w:sz w:val="16"/>
          <w:szCs w:val="16"/>
          <w:lang w:eastAsia="ja-JP"/>
        </w:rPr>
        <w:t xml:space="preserve">this form of </w:t>
      </w:r>
      <w:r w:rsidR="00577174" w:rsidRPr="0074738A">
        <w:rPr>
          <w:i/>
          <w:sz w:val="16"/>
          <w:szCs w:val="16"/>
          <w:lang w:eastAsia="ja-JP"/>
        </w:rPr>
        <w:t xml:space="preserve">data visualization </w:t>
      </w:r>
      <w:r w:rsidR="00147C74" w:rsidRPr="0074738A">
        <w:rPr>
          <w:i/>
          <w:sz w:val="16"/>
          <w:szCs w:val="16"/>
          <w:lang w:eastAsia="ja-JP"/>
        </w:rPr>
        <w:t xml:space="preserve">to be </w:t>
      </w:r>
      <w:r w:rsidR="00577174" w:rsidRPr="0074738A">
        <w:rPr>
          <w:i/>
          <w:sz w:val="16"/>
          <w:szCs w:val="16"/>
          <w:lang w:eastAsia="ja-JP"/>
        </w:rPr>
        <w:t xml:space="preserve">very powerful. </w:t>
      </w:r>
      <w:r w:rsidR="00FA4AB3" w:rsidRPr="0074738A">
        <w:rPr>
          <w:i/>
          <w:sz w:val="16"/>
          <w:szCs w:val="16"/>
          <w:lang w:eastAsia="ja-JP"/>
        </w:rPr>
        <w:t>Many o</w:t>
      </w:r>
      <w:r w:rsidR="00147C74" w:rsidRPr="0074738A">
        <w:rPr>
          <w:i/>
          <w:sz w:val="16"/>
          <w:szCs w:val="16"/>
          <w:lang w:eastAsia="ja-JP"/>
        </w:rPr>
        <w:t xml:space="preserve">f Tufte’s </w:t>
      </w:r>
      <w:r w:rsidR="00B850EC" w:rsidRPr="0074738A">
        <w:rPr>
          <w:i/>
          <w:sz w:val="16"/>
          <w:szCs w:val="16"/>
          <w:lang w:eastAsia="ja-JP"/>
        </w:rPr>
        <w:t>guidelines</w:t>
      </w:r>
      <w:r w:rsidR="00147C74" w:rsidRPr="0074738A">
        <w:rPr>
          <w:i/>
          <w:sz w:val="16"/>
          <w:szCs w:val="16"/>
          <w:lang w:eastAsia="ja-JP"/>
        </w:rPr>
        <w:t xml:space="preserve"> have been</w:t>
      </w:r>
      <w:r w:rsidR="00FA4AB3" w:rsidRPr="0074738A">
        <w:rPr>
          <w:i/>
          <w:sz w:val="16"/>
          <w:szCs w:val="16"/>
          <w:lang w:eastAsia="ja-JP"/>
        </w:rPr>
        <w:t xml:space="preserve"> adapted </w:t>
      </w:r>
      <w:r w:rsidR="00147C74" w:rsidRPr="0074738A">
        <w:rPr>
          <w:i/>
          <w:sz w:val="16"/>
          <w:szCs w:val="16"/>
          <w:lang w:eastAsia="ja-JP"/>
        </w:rPr>
        <w:t xml:space="preserve">in this </w:t>
      </w:r>
      <w:r w:rsidR="00B850EC" w:rsidRPr="0074738A">
        <w:rPr>
          <w:i/>
          <w:sz w:val="16"/>
          <w:szCs w:val="16"/>
          <w:lang w:eastAsia="ja-JP"/>
        </w:rPr>
        <w:t>write-up</w:t>
      </w:r>
      <w:r w:rsidR="00147C74" w:rsidRPr="0074738A">
        <w:rPr>
          <w:i/>
          <w:sz w:val="16"/>
          <w:szCs w:val="16"/>
          <w:lang w:eastAsia="ja-JP"/>
        </w:rPr>
        <w:t xml:space="preserve"> </w:t>
      </w:r>
      <w:r w:rsidR="00FA4AB3" w:rsidRPr="0074738A">
        <w:rPr>
          <w:i/>
          <w:sz w:val="16"/>
          <w:szCs w:val="16"/>
          <w:lang w:eastAsia="ja-JP"/>
        </w:rPr>
        <w:t>to accommodate the widespread trend</w:t>
      </w:r>
      <w:r w:rsidR="000A080A" w:rsidRPr="0074738A">
        <w:rPr>
          <w:i/>
          <w:sz w:val="16"/>
          <w:szCs w:val="16"/>
          <w:lang w:eastAsia="ja-JP"/>
        </w:rPr>
        <w:t xml:space="preserve"> towards web </w:t>
      </w:r>
      <w:r w:rsidR="0035196C">
        <w:rPr>
          <w:i/>
          <w:sz w:val="16"/>
          <w:szCs w:val="16"/>
          <w:lang w:eastAsia="ja-JP"/>
        </w:rPr>
        <w:t xml:space="preserve">(non-printer) </w:t>
      </w:r>
      <w:r w:rsidR="000A080A" w:rsidRPr="0074738A">
        <w:rPr>
          <w:i/>
          <w:sz w:val="16"/>
          <w:szCs w:val="16"/>
          <w:lang w:eastAsia="ja-JP"/>
        </w:rPr>
        <w:t>analysis.</w:t>
      </w:r>
      <w:r w:rsidR="007E5A47" w:rsidRPr="0074738A">
        <w:rPr>
          <w:i/>
          <w:sz w:val="16"/>
          <w:szCs w:val="16"/>
          <w:lang w:eastAsia="ja-JP"/>
        </w:rPr>
        <w:t xml:space="preserve"> This write-</w:t>
      </w:r>
      <w:r w:rsidR="0074738A" w:rsidRPr="0074738A">
        <w:rPr>
          <w:i/>
          <w:sz w:val="16"/>
          <w:szCs w:val="16"/>
          <w:lang w:eastAsia="ja-JP"/>
        </w:rPr>
        <w:t>up has gone int</w:t>
      </w:r>
      <w:r w:rsidR="00B777D6">
        <w:rPr>
          <w:i/>
          <w:sz w:val="16"/>
          <w:szCs w:val="16"/>
          <w:lang w:eastAsia="ja-JP"/>
        </w:rPr>
        <w:t xml:space="preserve">o the realm of data clarity, </w:t>
      </w:r>
      <w:r w:rsidR="0074738A" w:rsidRPr="0074738A">
        <w:rPr>
          <w:i/>
          <w:sz w:val="16"/>
          <w:szCs w:val="16"/>
          <w:lang w:eastAsia="ja-JP"/>
        </w:rPr>
        <w:t>visualization clarity</w:t>
      </w:r>
      <w:r w:rsidR="00B777D6">
        <w:rPr>
          <w:i/>
          <w:sz w:val="16"/>
          <w:szCs w:val="16"/>
          <w:lang w:eastAsia="ja-JP"/>
        </w:rPr>
        <w:t xml:space="preserve"> and especially visualization clarity issues that are very web centric</w:t>
      </w:r>
      <w:r w:rsidR="0074738A" w:rsidRPr="0074738A">
        <w:rPr>
          <w:i/>
          <w:sz w:val="16"/>
          <w:szCs w:val="16"/>
          <w:lang w:eastAsia="ja-JP"/>
        </w:rPr>
        <w:t>.</w:t>
      </w:r>
    </w:p>
    <w:p w14:paraId="18E08508" w14:textId="150FB403" w:rsidR="00526C7C" w:rsidRPr="00296373" w:rsidRDefault="00526C7C" w:rsidP="00296373">
      <w:pPr>
        <w:widowControl w:val="0"/>
        <w:autoSpaceDE w:val="0"/>
        <w:autoSpaceDN w:val="0"/>
        <w:adjustRightInd w:val="0"/>
        <w:rPr>
          <w:sz w:val="16"/>
          <w:szCs w:val="16"/>
          <w:lang w:eastAsia="ja-JP"/>
        </w:rPr>
      </w:pPr>
      <w:bookmarkStart w:id="0" w:name="_GoBack"/>
      <w:bookmarkEnd w:id="0"/>
    </w:p>
    <w:sectPr w:rsidR="00526C7C" w:rsidRPr="00296373" w:rsidSect="009E2CD2">
      <w:pgSz w:w="12240" w:h="15840"/>
      <w:pgMar w:top="1440" w:right="108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F1B"/>
    <w:rsid w:val="00014518"/>
    <w:rsid w:val="000229F0"/>
    <w:rsid w:val="000414A4"/>
    <w:rsid w:val="000425EA"/>
    <w:rsid w:val="00056CF6"/>
    <w:rsid w:val="000A080A"/>
    <w:rsid w:val="000C0A75"/>
    <w:rsid w:val="000E7569"/>
    <w:rsid w:val="0010087F"/>
    <w:rsid w:val="00107CBE"/>
    <w:rsid w:val="00120FDE"/>
    <w:rsid w:val="0012187C"/>
    <w:rsid w:val="0014564A"/>
    <w:rsid w:val="00147C74"/>
    <w:rsid w:val="00171D9C"/>
    <w:rsid w:val="00182895"/>
    <w:rsid w:val="00190244"/>
    <w:rsid w:val="001B430C"/>
    <w:rsid w:val="001C6FC6"/>
    <w:rsid w:val="001E54C5"/>
    <w:rsid w:val="002175DD"/>
    <w:rsid w:val="002215CB"/>
    <w:rsid w:val="0024626D"/>
    <w:rsid w:val="0026302D"/>
    <w:rsid w:val="00283C00"/>
    <w:rsid w:val="00296373"/>
    <w:rsid w:val="002A5F71"/>
    <w:rsid w:val="002B0D98"/>
    <w:rsid w:val="002E0EFF"/>
    <w:rsid w:val="003248C8"/>
    <w:rsid w:val="00332BC0"/>
    <w:rsid w:val="0033597A"/>
    <w:rsid w:val="0035196C"/>
    <w:rsid w:val="00395EEF"/>
    <w:rsid w:val="003975B7"/>
    <w:rsid w:val="003B4748"/>
    <w:rsid w:val="003D3267"/>
    <w:rsid w:val="003D4056"/>
    <w:rsid w:val="003F2D34"/>
    <w:rsid w:val="00433E30"/>
    <w:rsid w:val="00466FFA"/>
    <w:rsid w:val="00490B63"/>
    <w:rsid w:val="00497D5C"/>
    <w:rsid w:val="004F3D85"/>
    <w:rsid w:val="00526C7C"/>
    <w:rsid w:val="00555C1D"/>
    <w:rsid w:val="005644BA"/>
    <w:rsid w:val="00564726"/>
    <w:rsid w:val="00577174"/>
    <w:rsid w:val="005879AD"/>
    <w:rsid w:val="005A03F0"/>
    <w:rsid w:val="005A5EFA"/>
    <w:rsid w:val="005B1658"/>
    <w:rsid w:val="005C0202"/>
    <w:rsid w:val="005C1EA9"/>
    <w:rsid w:val="005E7852"/>
    <w:rsid w:val="005F0E8F"/>
    <w:rsid w:val="00617CAA"/>
    <w:rsid w:val="00657ACF"/>
    <w:rsid w:val="00673A01"/>
    <w:rsid w:val="006A2E89"/>
    <w:rsid w:val="006E429C"/>
    <w:rsid w:val="00701A0F"/>
    <w:rsid w:val="00725202"/>
    <w:rsid w:val="00733398"/>
    <w:rsid w:val="00747329"/>
    <w:rsid w:val="0074738A"/>
    <w:rsid w:val="007620BB"/>
    <w:rsid w:val="00773E8D"/>
    <w:rsid w:val="00780625"/>
    <w:rsid w:val="007872B9"/>
    <w:rsid w:val="007A35FD"/>
    <w:rsid w:val="007B7734"/>
    <w:rsid w:val="007E5A47"/>
    <w:rsid w:val="007E6719"/>
    <w:rsid w:val="00805F1B"/>
    <w:rsid w:val="00831149"/>
    <w:rsid w:val="00857B19"/>
    <w:rsid w:val="00883BE7"/>
    <w:rsid w:val="008945C3"/>
    <w:rsid w:val="008C1192"/>
    <w:rsid w:val="00913F57"/>
    <w:rsid w:val="00925938"/>
    <w:rsid w:val="00994399"/>
    <w:rsid w:val="009966F8"/>
    <w:rsid w:val="009A281B"/>
    <w:rsid w:val="009B2DDF"/>
    <w:rsid w:val="009C71ED"/>
    <w:rsid w:val="009D7ADB"/>
    <w:rsid w:val="009E2CD2"/>
    <w:rsid w:val="009E4B51"/>
    <w:rsid w:val="00A02916"/>
    <w:rsid w:val="00A05941"/>
    <w:rsid w:val="00A31D32"/>
    <w:rsid w:val="00A331FB"/>
    <w:rsid w:val="00A37D9A"/>
    <w:rsid w:val="00A5244B"/>
    <w:rsid w:val="00A906C6"/>
    <w:rsid w:val="00A94595"/>
    <w:rsid w:val="00A96BB1"/>
    <w:rsid w:val="00A97C67"/>
    <w:rsid w:val="00B15FE8"/>
    <w:rsid w:val="00B360D0"/>
    <w:rsid w:val="00B561D1"/>
    <w:rsid w:val="00B66444"/>
    <w:rsid w:val="00B777D6"/>
    <w:rsid w:val="00B81B63"/>
    <w:rsid w:val="00B850EC"/>
    <w:rsid w:val="00B877DD"/>
    <w:rsid w:val="00BB2AD9"/>
    <w:rsid w:val="00BB4434"/>
    <w:rsid w:val="00C416E6"/>
    <w:rsid w:val="00C75BED"/>
    <w:rsid w:val="00C96C1B"/>
    <w:rsid w:val="00CB35FC"/>
    <w:rsid w:val="00CE4B84"/>
    <w:rsid w:val="00CE672C"/>
    <w:rsid w:val="00CF40B0"/>
    <w:rsid w:val="00D14DF9"/>
    <w:rsid w:val="00D15FF1"/>
    <w:rsid w:val="00D17143"/>
    <w:rsid w:val="00D23503"/>
    <w:rsid w:val="00D36F99"/>
    <w:rsid w:val="00D5693B"/>
    <w:rsid w:val="00D64D54"/>
    <w:rsid w:val="00D65557"/>
    <w:rsid w:val="00DB37C9"/>
    <w:rsid w:val="00DB3BF4"/>
    <w:rsid w:val="00DC643C"/>
    <w:rsid w:val="00DD4696"/>
    <w:rsid w:val="00E31222"/>
    <w:rsid w:val="00E33A8F"/>
    <w:rsid w:val="00E9565B"/>
    <w:rsid w:val="00EA0B7C"/>
    <w:rsid w:val="00EB3695"/>
    <w:rsid w:val="00EC25AD"/>
    <w:rsid w:val="00F367E1"/>
    <w:rsid w:val="00F36C7C"/>
    <w:rsid w:val="00FA4AB3"/>
    <w:rsid w:val="00FC68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3D9C6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F1B"/>
    <w:rPr>
      <w:color w:val="0000FF" w:themeColor="hyperlink"/>
      <w:u w:val="single"/>
    </w:rPr>
  </w:style>
  <w:style w:type="character" w:styleId="FollowedHyperlink">
    <w:name w:val="FollowedHyperlink"/>
    <w:basedOn w:val="DefaultParagraphFont"/>
    <w:uiPriority w:val="99"/>
    <w:semiHidden/>
    <w:unhideWhenUsed/>
    <w:rsid w:val="00805F1B"/>
    <w:rPr>
      <w:color w:val="800080" w:themeColor="followedHyperlink"/>
      <w:u w:val="single"/>
    </w:rPr>
  </w:style>
  <w:style w:type="table" w:styleId="TableGrid">
    <w:name w:val="Table Grid"/>
    <w:basedOn w:val="TableNormal"/>
    <w:uiPriority w:val="59"/>
    <w:rsid w:val="003975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C0202"/>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2A5F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F1B"/>
    <w:rPr>
      <w:color w:val="0000FF" w:themeColor="hyperlink"/>
      <w:u w:val="single"/>
    </w:rPr>
  </w:style>
  <w:style w:type="character" w:styleId="FollowedHyperlink">
    <w:name w:val="FollowedHyperlink"/>
    <w:basedOn w:val="DefaultParagraphFont"/>
    <w:uiPriority w:val="99"/>
    <w:semiHidden/>
    <w:unhideWhenUsed/>
    <w:rsid w:val="00805F1B"/>
    <w:rPr>
      <w:color w:val="800080" w:themeColor="followedHyperlink"/>
      <w:u w:val="single"/>
    </w:rPr>
  </w:style>
  <w:style w:type="table" w:styleId="TableGrid">
    <w:name w:val="Table Grid"/>
    <w:basedOn w:val="TableNormal"/>
    <w:uiPriority w:val="59"/>
    <w:rsid w:val="003975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C0202"/>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2A5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352993">
      <w:bodyDiv w:val="1"/>
      <w:marLeft w:val="0"/>
      <w:marRight w:val="0"/>
      <w:marTop w:val="0"/>
      <w:marBottom w:val="0"/>
      <w:divBdr>
        <w:top w:val="none" w:sz="0" w:space="0" w:color="auto"/>
        <w:left w:val="none" w:sz="0" w:space="0" w:color="auto"/>
        <w:bottom w:val="none" w:sz="0" w:space="0" w:color="auto"/>
        <w:right w:val="none" w:sz="0" w:space="0" w:color="auto"/>
      </w:divBdr>
      <w:divsChild>
        <w:div w:id="1836872986">
          <w:marLeft w:val="0"/>
          <w:marRight w:val="0"/>
          <w:marTop w:val="0"/>
          <w:marBottom w:val="0"/>
          <w:divBdr>
            <w:top w:val="none" w:sz="0" w:space="0" w:color="auto"/>
            <w:left w:val="none" w:sz="0" w:space="0" w:color="auto"/>
            <w:bottom w:val="none" w:sz="0" w:space="0" w:color="auto"/>
            <w:right w:val="none" w:sz="0" w:space="0" w:color="auto"/>
          </w:divBdr>
          <w:divsChild>
            <w:div w:id="1594046280">
              <w:marLeft w:val="0"/>
              <w:marRight w:val="0"/>
              <w:marTop w:val="0"/>
              <w:marBottom w:val="0"/>
              <w:divBdr>
                <w:top w:val="none" w:sz="0" w:space="0" w:color="auto"/>
                <w:left w:val="none" w:sz="0" w:space="0" w:color="auto"/>
                <w:bottom w:val="none" w:sz="0" w:space="0" w:color="auto"/>
                <w:right w:val="none" w:sz="0" w:space="0" w:color="auto"/>
              </w:divBdr>
              <w:divsChild>
                <w:div w:id="14892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78412">
      <w:bodyDiv w:val="1"/>
      <w:marLeft w:val="0"/>
      <w:marRight w:val="0"/>
      <w:marTop w:val="0"/>
      <w:marBottom w:val="0"/>
      <w:divBdr>
        <w:top w:val="none" w:sz="0" w:space="0" w:color="auto"/>
        <w:left w:val="none" w:sz="0" w:space="0" w:color="auto"/>
        <w:bottom w:val="none" w:sz="0" w:space="0" w:color="auto"/>
        <w:right w:val="none" w:sz="0" w:space="0" w:color="auto"/>
      </w:divBdr>
      <w:divsChild>
        <w:div w:id="1282804488">
          <w:marLeft w:val="0"/>
          <w:marRight w:val="0"/>
          <w:marTop w:val="0"/>
          <w:marBottom w:val="0"/>
          <w:divBdr>
            <w:top w:val="none" w:sz="0" w:space="0" w:color="auto"/>
            <w:left w:val="none" w:sz="0" w:space="0" w:color="auto"/>
            <w:bottom w:val="none" w:sz="0" w:space="0" w:color="auto"/>
            <w:right w:val="none" w:sz="0" w:space="0" w:color="auto"/>
          </w:divBdr>
          <w:divsChild>
            <w:div w:id="2120635683">
              <w:marLeft w:val="0"/>
              <w:marRight w:val="0"/>
              <w:marTop w:val="0"/>
              <w:marBottom w:val="0"/>
              <w:divBdr>
                <w:top w:val="none" w:sz="0" w:space="0" w:color="auto"/>
                <w:left w:val="none" w:sz="0" w:space="0" w:color="auto"/>
                <w:bottom w:val="none" w:sz="0" w:space="0" w:color="auto"/>
                <w:right w:val="none" w:sz="0" w:space="0" w:color="auto"/>
              </w:divBdr>
              <w:divsChild>
                <w:div w:id="111811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igrationpolicy.org/programs/data-hub/maps-immigrants-and-emigrants-around-world" TargetMode="External"/><Relationship Id="rId7" Type="http://schemas.openxmlformats.org/officeDocument/2006/relationships/hyperlink" Target="http://www.pewglobal.org/2016/05/17/global-migrant-stock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0E2CB-A1D5-0942-81FA-27977D110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686</Words>
  <Characters>3694</Characters>
  <Application>Microsoft Macintosh Word</Application>
  <DocSecurity>0</DocSecurity>
  <Lines>167</Lines>
  <Paragraphs>53</Paragraphs>
  <ScaleCrop>false</ScaleCrop>
  <HeadingPairs>
    <vt:vector size="2" baseType="variant">
      <vt:variant>
        <vt:lpstr>Title</vt:lpstr>
      </vt:variant>
      <vt:variant>
        <vt:i4>1</vt:i4>
      </vt:variant>
    </vt:vector>
  </HeadingPairs>
  <TitlesOfParts>
    <vt:vector size="1" baseType="lpstr">
      <vt:lpstr/>
    </vt:vector>
  </TitlesOfParts>
  <Company>Principal</Company>
  <LinksUpToDate>false</LinksUpToDate>
  <CharactersWithSpaces>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Shankar</dc:creator>
  <cp:keywords/>
  <dc:description/>
  <cp:lastModifiedBy>Natarajan Shankar</cp:lastModifiedBy>
  <cp:revision>38</cp:revision>
  <cp:lastPrinted>2016-07-11T15:54:00Z</cp:lastPrinted>
  <dcterms:created xsi:type="dcterms:W3CDTF">2016-07-11T16:00:00Z</dcterms:created>
  <dcterms:modified xsi:type="dcterms:W3CDTF">2016-07-11T22:18:00Z</dcterms:modified>
</cp:coreProperties>
</file>