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55" w:rsidRPr="00F2764C" w:rsidRDefault="00900755" w:rsidP="00900755">
      <w:pPr>
        <w:ind w:left="2160" w:firstLine="720"/>
        <w:rPr>
          <w:rFonts w:ascii="Bookman Old Style" w:hAnsi="Bookman Old Style"/>
          <w:b/>
          <w:color w:val="000000"/>
          <w:sz w:val="20"/>
          <w:szCs w:val="20"/>
        </w:rPr>
      </w:pPr>
      <w:r w:rsidRPr="00F2764C">
        <w:rPr>
          <w:rFonts w:ascii="Bookman Old Style" w:hAnsi="Bookman Old Style"/>
          <w:b/>
          <w:color w:val="000000"/>
          <w:sz w:val="20"/>
          <w:szCs w:val="20"/>
        </w:rPr>
        <w:t>SEMESTER V BIOCHEMSITRY</w:t>
      </w:r>
    </w:p>
    <w:p w:rsidR="00900755" w:rsidRPr="00F2764C" w:rsidRDefault="00900755">
      <w:pPr>
        <w:rPr>
          <w:rFonts w:ascii="Bookman Old Style" w:hAnsi="Bookman Old Style"/>
          <w:b/>
          <w:color w:val="000000"/>
          <w:sz w:val="20"/>
          <w:szCs w:val="20"/>
        </w:rPr>
      </w:pPr>
    </w:p>
    <w:p w:rsidR="007F2DF3" w:rsidRPr="00F2764C" w:rsidRDefault="00900755">
      <w:pPr>
        <w:rPr>
          <w:rFonts w:ascii="Bookman Old Style" w:hAnsi="Bookman Old Style"/>
          <w:color w:val="000000"/>
          <w:sz w:val="20"/>
          <w:szCs w:val="20"/>
        </w:rPr>
      </w:pPr>
      <w:r w:rsidRPr="00F2764C">
        <w:rPr>
          <w:rFonts w:ascii="Bookman Old Style" w:hAnsi="Bookman Old Style"/>
          <w:b/>
          <w:color w:val="000000"/>
          <w:sz w:val="20"/>
          <w:szCs w:val="20"/>
        </w:rPr>
        <w:t>SEMESTER-</w:t>
      </w:r>
      <w:proofErr w:type="gramStart"/>
      <w:r w:rsidRPr="00F2764C">
        <w:rPr>
          <w:rFonts w:ascii="Bookman Old Style" w:hAnsi="Bookman Old Style"/>
          <w:b/>
          <w:color w:val="000000"/>
          <w:sz w:val="20"/>
          <w:szCs w:val="20"/>
        </w:rPr>
        <w:t>V(</w:t>
      </w:r>
      <w:proofErr w:type="gramEnd"/>
      <w:r w:rsidRPr="00F2764C">
        <w:rPr>
          <w:rFonts w:ascii="Bookman Old Style" w:hAnsi="Bookman Old Style"/>
          <w:b/>
          <w:color w:val="000000"/>
          <w:sz w:val="20"/>
          <w:szCs w:val="20"/>
        </w:rPr>
        <w:t>A)</w:t>
      </w:r>
      <w:r w:rsidRPr="00F2764C">
        <w:rPr>
          <w:rFonts w:ascii="Bookman Old Style" w:hAnsi="Bookman Old Style"/>
          <w:b/>
          <w:color w:val="000000"/>
          <w:sz w:val="20"/>
          <w:szCs w:val="20"/>
        </w:rPr>
        <w:tab/>
      </w:r>
      <w:r w:rsidRPr="00F2764C">
        <w:rPr>
          <w:rFonts w:ascii="Bookman Old Style" w:hAnsi="Bookman Old Style"/>
          <w:b/>
          <w:color w:val="000000"/>
          <w:sz w:val="20"/>
          <w:szCs w:val="20"/>
        </w:rPr>
        <w:tab/>
        <w:t>PAPER -V</w:t>
      </w:r>
      <w:r w:rsidRPr="00F2764C">
        <w:rPr>
          <w:rFonts w:ascii="Bookman Old Style" w:hAnsi="Bookman Old Style"/>
          <w:b/>
          <w:color w:val="000000"/>
          <w:sz w:val="20"/>
          <w:szCs w:val="20"/>
        </w:rPr>
        <w:br/>
      </w:r>
      <w:r w:rsidRPr="00F2764C">
        <w:rPr>
          <w:rFonts w:ascii="Bookman Old Style" w:hAnsi="Bookman Old Style"/>
          <w:color w:val="000000"/>
          <w:sz w:val="20"/>
          <w:szCs w:val="20"/>
        </w:rPr>
        <w:t>Theory: BCT-501-Physiology, Clinical Biochemistry and Immunology 60 hrs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>(5periods/12 hours week)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>Unit- I : Physiology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 xml:space="preserve">Digestion and absorption of carbohydrates, lipids and proteins. 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Composition of blood and coagulation of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>blood.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Transport of gases in blood (oxygen and CO2).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t xml:space="preserve"> Muscle: Structure of myofibril and mechanism of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>muscle contraction.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>Unit II: Endocrinology 12 hours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 xml:space="preserve">Endocrinology- organization of endocrine system. 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Classification of hormones.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t xml:space="preserve"> Outlines of chemistry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,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br/>
        <w:t>physiological role and disorders of hormones of hypothalamus, pituitary, thyroid, parathyroid, adrenal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 xml:space="preserve">gland, pancreatic hormones and gonads. . 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Introduction of hormones of gastrointestinal tract and placenta.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br/>
        <w:t xml:space="preserve">Unit- 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III :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t xml:space="preserve"> Nutritional Biochemistry 12 hours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 xml:space="preserve">Classification of Nutrients, calorific values of foods and their determination by bomb calorimeter. 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BMR</w:t>
      </w:r>
      <w:r w:rsidRPr="00F2764C">
        <w:rPr>
          <w:rFonts w:ascii="Bookman Old Style" w:hAnsi="Bookman Old Style"/>
          <w:color w:val="000000"/>
          <w:sz w:val="20"/>
          <w:szCs w:val="20"/>
        </w:rPr>
        <w:br/>
        <w:t>and factors affecting it.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gramStart"/>
      <w:r w:rsidRPr="00F2764C">
        <w:rPr>
          <w:rFonts w:ascii="Bookman Old Style" w:hAnsi="Bookman Old Style"/>
          <w:color w:val="000000"/>
          <w:sz w:val="20"/>
          <w:szCs w:val="20"/>
        </w:rPr>
        <w:t>Significance of BMR.</w:t>
      </w:r>
      <w:proofErr w:type="gramEnd"/>
      <w:r w:rsidRPr="00F2764C">
        <w:rPr>
          <w:rFonts w:ascii="Bookman Old Style" w:hAnsi="Bookman Old Style"/>
          <w:color w:val="000000"/>
          <w:sz w:val="20"/>
          <w:szCs w:val="20"/>
        </w:rPr>
        <w:t xml:space="preserve"> Specific dynamic action of foods</w:t>
      </w:r>
    </w:p>
    <w:p w:rsidR="00900755" w:rsidRPr="00F2764C" w:rsidRDefault="00900755">
      <w:pPr>
        <w:rPr>
          <w:rFonts w:ascii="Bookman Old Style" w:hAnsi="Bookman Old Style"/>
          <w:color w:val="000000"/>
          <w:sz w:val="20"/>
          <w:szCs w:val="20"/>
        </w:rPr>
      </w:pPr>
    </w:p>
    <w:p w:rsidR="00900755" w:rsidRPr="00F2764C" w:rsidRDefault="00900755" w:rsidP="00900755">
      <w:pPr>
        <w:ind w:left="3600" w:firstLine="720"/>
        <w:rPr>
          <w:rFonts w:ascii="Bookman Old Style" w:hAnsi="Bookman Old Style"/>
          <w:b/>
          <w:color w:val="000000"/>
          <w:sz w:val="20"/>
          <w:szCs w:val="20"/>
        </w:rPr>
      </w:pPr>
      <w:r w:rsidRPr="00F2764C">
        <w:rPr>
          <w:rFonts w:ascii="Bookman Old Style" w:hAnsi="Bookman Old Style"/>
          <w:b/>
          <w:color w:val="000000"/>
          <w:sz w:val="20"/>
          <w:szCs w:val="20"/>
        </w:rPr>
        <w:t xml:space="preserve">PAPER </w:t>
      </w:r>
      <w:proofErr w:type="gramStart"/>
      <w:r w:rsidRPr="00F2764C">
        <w:rPr>
          <w:rFonts w:ascii="Bookman Old Style" w:hAnsi="Bookman Old Style"/>
          <w:b/>
          <w:color w:val="000000"/>
          <w:sz w:val="20"/>
          <w:szCs w:val="20"/>
        </w:rPr>
        <w:t>V(</w:t>
      </w:r>
      <w:proofErr w:type="gramEnd"/>
      <w:r w:rsidRPr="00F2764C">
        <w:rPr>
          <w:rFonts w:ascii="Bookman Old Style" w:hAnsi="Bookman Old Style"/>
          <w:b/>
          <w:color w:val="000000"/>
          <w:sz w:val="20"/>
          <w:szCs w:val="20"/>
        </w:rPr>
        <w:t>B)</w:t>
      </w:r>
    </w:p>
    <w:p w:rsidR="00900755" w:rsidRPr="00F2764C" w:rsidRDefault="00900755" w:rsidP="00F2764C">
      <w:pPr>
        <w:autoSpaceDE w:val="0"/>
        <w:autoSpaceDN w:val="0"/>
        <w:adjustRightInd w:val="0"/>
        <w:jc w:val="center"/>
        <w:rPr>
          <w:rFonts w:ascii="Bookman Old Style" w:eastAsia="Calibri" w:hAnsi="Bookman Old Style"/>
          <w:sz w:val="20"/>
          <w:szCs w:val="20"/>
          <w:u w:val="single"/>
        </w:rPr>
      </w:pP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  <w:u w:val="single"/>
        </w:rPr>
        <w:t>Elective Theory BCT-503: Molecular Basis of Infectious Diseases</w:t>
      </w:r>
    </w:p>
    <w:p w:rsidR="00900755" w:rsidRPr="00F2764C" w:rsidRDefault="00900755" w:rsidP="00900755">
      <w:pPr>
        <w:autoSpaceDE w:val="0"/>
        <w:autoSpaceDN w:val="0"/>
        <w:adjustRightInd w:val="0"/>
        <w:rPr>
          <w:rFonts w:ascii="Bookman Old Style" w:eastAsia="Calibri" w:hAnsi="Bookman Old Style"/>
          <w:sz w:val="20"/>
          <w:szCs w:val="20"/>
        </w:rPr>
      </w:pP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 xml:space="preserve">                     </w:t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  <w:t xml:space="preserve"> </w:t>
      </w:r>
    </w:p>
    <w:p w:rsidR="00900755" w:rsidRPr="00F2764C" w:rsidRDefault="00900755" w:rsidP="00900755">
      <w:pPr>
        <w:autoSpaceDE w:val="0"/>
        <w:autoSpaceDN w:val="0"/>
        <w:adjustRightInd w:val="0"/>
        <w:rPr>
          <w:rFonts w:ascii="Bookman Old Style" w:eastAsia="Calibri" w:hAnsi="Bookman Old Style"/>
          <w:b/>
          <w:bCs/>
          <w:color w:val="000000"/>
          <w:sz w:val="20"/>
          <w:szCs w:val="20"/>
        </w:rPr>
      </w:pP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>Unit-</w:t>
      </w:r>
      <w:proofErr w:type="gramStart"/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>I :</w:t>
      </w:r>
      <w:proofErr w:type="gramEnd"/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 xml:space="preserve"> Classificatio</w:t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 xml:space="preserve">n of infectious agents    </w:t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  <w:t xml:space="preserve"> </w:t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>No. of Hours : 12</w:t>
      </w:r>
    </w:p>
    <w:p w:rsidR="00900755" w:rsidRPr="00F2764C" w:rsidRDefault="00900755" w:rsidP="00900755">
      <w:pPr>
        <w:autoSpaceDE w:val="0"/>
        <w:autoSpaceDN w:val="0"/>
        <w:adjustRightInd w:val="0"/>
        <w:jc w:val="both"/>
        <w:rPr>
          <w:rFonts w:ascii="Bookman Old Style" w:eastAsia="Calibri" w:hAnsi="Bookman Old Style"/>
          <w:sz w:val="20"/>
          <w:szCs w:val="20"/>
        </w:rPr>
      </w:pPr>
      <w:proofErr w:type="gramStart"/>
      <w:r w:rsidRPr="00F2764C">
        <w:rPr>
          <w:rFonts w:ascii="Bookman Old Style" w:eastAsia="Calibri" w:hAnsi="Bookman Old Style"/>
          <w:color w:val="000000"/>
          <w:sz w:val="20"/>
          <w:szCs w:val="20"/>
        </w:rPr>
        <w:t>Bacteria, Viruses, protozoa and fungi.</w:t>
      </w:r>
      <w:proofErr w:type="gramEnd"/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 Past and </w:t>
      </w:r>
      <w:proofErr w:type="gramStart"/>
      <w:r w:rsidRPr="00F2764C">
        <w:rPr>
          <w:rFonts w:ascii="Bookman Old Style" w:eastAsia="Calibri" w:hAnsi="Bookman Old Style"/>
          <w:color w:val="000000"/>
          <w:sz w:val="20"/>
          <w:szCs w:val="20"/>
        </w:rPr>
        <w:t>present  emerging</w:t>
      </w:r>
      <w:proofErr w:type="gramEnd"/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 and re-emerging infectious diseases and pathogens. </w:t>
      </w:r>
      <w:proofErr w:type="gramStart"/>
      <w:r w:rsidRPr="00F2764C">
        <w:rPr>
          <w:rFonts w:ascii="Bookman Old Style" w:eastAsia="Calibri" w:hAnsi="Bookman Old Style"/>
          <w:color w:val="000000"/>
          <w:sz w:val="20"/>
          <w:szCs w:val="20"/>
        </w:rPr>
        <w:t>Source, reservoir and transmission of pathogens, Antigenic shift and antigenic drift.</w:t>
      </w:r>
      <w:proofErr w:type="gramEnd"/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 Host parasite relationship, types of infections associated with parasitic organisms. </w:t>
      </w:r>
      <w:proofErr w:type="gramStart"/>
      <w:r w:rsidRPr="00F2764C">
        <w:rPr>
          <w:rFonts w:ascii="Bookman Old Style" w:eastAsia="Calibri" w:hAnsi="Bookman Old Style"/>
          <w:color w:val="000000"/>
          <w:sz w:val="20"/>
          <w:szCs w:val="20"/>
        </w:rPr>
        <w:t>Overview of viral and bacterial pathogenesis.</w:t>
      </w:r>
      <w:proofErr w:type="gramEnd"/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 </w:t>
      </w:r>
      <w:proofErr w:type="gramStart"/>
      <w:r w:rsidRPr="00F2764C">
        <w:rPr>
          <w:rFonts w:ascii="Bookman Old Style" w:eastAsia="Calibri" w:hAnsi="Bookman Old Style"/>
          <w:color w:val="000000"/>
          <w:sz w:val="20"/>
          <w:szCs w:val="20"/>
        </w:rPr>
        <w:t>Infection and evasion.</w:t>
      </w:r>
      <w:proofErr w:type="gramEnd"/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 </w:t>
      </w:r>
    </w:p>
    <w:p w:rsidR="00900755" w:rsidRPr="00F2764C" w:rsidRDefault="00900755" w:rsidP="00900755">
      <w:pPr>
        <w:autoSpaceDE w:val="0"/>
        <w:autoSpaceDN w:val="0"/>
        <w:adjustRightInd w:val="0"/>
        <w:rPr>
          <w:rFonts w:ascii="Bookman Old Style" w:eastAsia="Calibri" w:hAnsi="Bookman Old Style"/>
          <w:color w:val="000000"/>
          <w:sz w:val="20"/>
          <w:szCs w:val="20"/>
        </w:rPr>
      </w:pPr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 </w:t>
      </w:r>
    </w:p>
    <w:p w:rsidR="00900755" w:rsidRPr="00F2764C" w:rsidRDefault="00900755" w:rsidP="00900755">
      <w:pPr>
        <w:autoSpaceDE w:val="0"/>
        <w:autoSpaceDN w:val="0"/>
        <w:adjustRightInd w:val="0"/>
        <w:rPr>
          <w:rFonts w:ascii="Bookman Old Style" w:eastAsia="Calibri" w:hAnsi="Bookman Old Style"/>
          <w:b/>
          <w:bCs/>
          <w:color w:val="000000"/>
          <w:sz w:val="20"/>
          <w:szCs w:val="20"/>
        </w:rPr>
      </w:pP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>Unit-II: Overview of dis</w:t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 xml:space="preserve">eases caused by bacteria    </w:t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ab/>
      </w:r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 xml:space="preserve">No. of </w:t>
      </w:r>
      <w:proofErr w:type="gramStart"/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>Hours :</w:t>
      </w:r>
      <w:proofErr w:type="gramEnd"/>
      <w:r w:rsidRPr="00F2764C">
        <w:rPr>
          <w:rFonts w:ascii="Bookman Old Style" w:eastAsia="Calibri" w:hAnsi="Bookman Old Style"/>
          <w:b/>
          <w:bCs/>
          <w:color w:val="000000"/>
          <w:sz w:val="20"/>
          <w:szCs w:val="20"/>
        </w:rPr>
        <w:t xml:space="preserve"> 12</w:t>
      </w:r>
    </w:p>
    <w:p w:rsidR="00900755" w:rsidRPr="00F2764C" w:rsidRDefault="00900755" w:rsidP="00900755">
      <w:pPr>
        <w:rPr>
          <w:rFonts w:ascii="Bookman Old Style" w:hAnsi="Bookman Old Style"/>
          <w:sz w:val="20"/>
          <w:szCs w:val="20"/>
        </w:rPr>
      </w:pPr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Detailed study of tuberculosis: History, causative agent, molecular basis of host specificity, infection and </w:t>
      </w:r>
      <w:proofErr w:type="spellStart"/>
      <w:r w:rsidRPr="00F2764C">
        <w:rPr>
          <w:rFonts w:ascii="Bookman Old Style" w:eastAsia="Calibri" w:hAnsi="Bookman Old Style"/>
          <w:color w:val="000000"/>
          <w:sz w:val="20"/>
          <w:szCs w:val="20"/>
        </w:rPr>
        <w:t>pathogenicity</w:t>
      </w:r>
      <w:proofErr w:type="spellEnd"/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, Diagnostics, Therapeutics, inhibitors and vaccines. </w:t>
      </w:r>
      <w:proofErr w:type="gramStart"/>
      <w:r w:rsidRPr="00F2764C">
        <w:rPr>
          <w:rFonts w:ascii="Bookman Old Style" w:eastAsia="Calibri" w:hAnsi="Bookman Old Style"/>
          <w:color w:val="000000"/>
          <w:sz w:val="20"/>
          <w:szCs w:val="20"/>
        </w:rPr>
        <w:t>Drug resistance and implications on public health.</w:t>
      </w:r>
      <w:proofErr w:type="gramEnd"/>
      <w:r w:rsidRPr="00F2764C">
        <w:rPr>
          <w:rFonts w:ascii="Bookman Old Style" w:eastAsia="Calibri" w:hAnsi="Bookman Old Style"/>
          <w:color w:val="000000"/>
          <w:sz w:val="20"/>
          <w:szCs w:val="20"/>
        </w:rPr>
        <w:t xml:space="preserve">  </w:t>
      </w:r>
    </w:p>
    <w:sectPr w:rsidR="00900755" w:rsidRPr="00F2764C" w:rsidSect="007F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0755"/>
    <w:rsid w:val="007F2DF3"/>
    <w:rsid w:val="008B47A7"/>
    <w:rsid w:val="00900755"/>
    <w:rsid w:val="00F2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900755"/>
    <w:pPr>
      <w:spacing w:after="0" w:line="240" w:lineRule="auto"/>
    </w:pPr>
    <w:rPr>
      <w:rFonts w:ascii="Tahoma" w:eastAsia="Times New Roman" w:hAnsi="Tahoma" w:cs="Tahoma"/>
      <w:sz w:val="16"/>
      <w:szCs w:val="16"/>
      <w:lang w:bidi="te-IN"/>
    </w:rPr>
  </w:style>
  <w:style w:type="character" w:customStyle="1" w:styleId="BalloonTextChar">
    <w:name w:val="Balloon Text Char"/>
    <w:basedOn w:val="DefaultParagraphFont"/>
    <w:link w:val="BalloonText"/>
    <w:rsid w:val="00900755"/>
    <w:rPr>
      <w:rFonts w:ascii="Tahoma" w:eastAsia="Times New Roman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2019-07-17T07:46:00Z</cp:lastPrinted>
  <dcterms:created xsi:type="dcterms:W3CDTF">2019-07-17T07:41:00Z</dcterms:created>
  <dcterms:modified xsi:type="dcterms:W3CDTF">2019-07-17T07:47:00Z</dcterms:modified>
</cp:coreProperties>
</file>