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explainable-market-readiness-index-emri"/>
    <w:p>
      <w:pPr>
        <w:pStyle w:val="Heading1"/>
      </w:pPr>
      <w:r>
        <w:t xml:space="preserve">Explainable Market Readiness Index (EMRI)</w:t>
      </w:r>
    </w:p>
    <w:bookmarkStart w:id="9" w:name="production-analytical-report-v5.0.0"/>
    <w:p>
      <w:pPr>
        <w:pStyle w:val="Heading2"/>
      </w:pPr>
      <w:r>
        <w:t xml:space="preserve">Production Analytical Report v5.0.0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Shankha Roy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Production-Ready | Peer Review Quality</w:t>
      </w:r>
      <w:r>
        <w:br/>
      </w:r>
      <w:r>
        <w:rPr>
          <w:b/>
          <w:bCs/>
        </w:rPr>
        <w:t xml:space="preserve">DOI Reference:</w:t>
      </w:r>
      <w:r>
        <w:t xml:space="preserve"> </w:t>
      </w:r>
      <w:r>
        <w:t xml:space="preserve">emri-capstone-v5.0.0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report presents the production-grade implementation of the</w:t>
      </w:r>
      <w:r>
        <w:t xml:space="preserve"> </w:t>
      </w:r>
      <w:r>
        <w:rPr>
          <w:b/>
          <w:bCs/>
        </w:rPr>
        <w:t xml:space="preserve">Explainable Market Readiness Index (EMRI)</w:t>
      </w:r>
      <w:r>
        <w:t xml:space="preserve"> </w:t>
      </w:r>
      <w:r>
        <w:t xml:space="preserve">framework, a comprehensive analytical pipeline measuring digital competitiveness across global economies. Built upon rigorous statistical foundations and advanced machine learning methodologies, this framework integrates</w:t>
      </w:r>
      <w:r>
        <w:t xml:space="preserve"> </w:t>
      </w:r>
      <w:r>
        <w:rPr>
          <w:b/>
          <w:bCs/>
        </w:rPr>
        <w:t xml:space="preserve">Bayesian hyperparameter optimization</w:t>
      </w:r>
      <w:r>
        <w:t xml:space="preserve">,</w:t>
      </w:r>
      <w:r>
        <w:t xml:space="preserve"> </w:t>
      </w:r>
      <w:r>
        <w:rPr>
          <w:b/>
          <w:bCs/>
        </w:rPr>
        <w:t xml:space="preserve">SHAP-based explainability</w:t>
      </w:r>
      <w:r>
        <w:t xml:space="preserve">, and</w:t>
      </w:r>
      <w:r>
        <w:t xml:space="preserve"> </w:t>
      </w:r>
      <w:r>
        <w:rPr>
          <w:b/>
          <w:bCs/>
        </w:rPr>
        <w:t xml:space="preserve">out-of-sample validation</w:t>
      </w:r>
      <w:r>
        <w:t xml:space="preserve"> </w:t>
      </w:r>
      <w:r>
        <w:t xml:space="preserve">to deliver actionable intelligence for policymakers, investors, and international organizations.</w:t>
      </w:r>
    </w:p>
    <w:p>
      <w:pPr>
        <w:pStyle w:val="BodyText"/>
      </w:pPr>
      <w:r>
        <w:rPr>
          <w:b/>
          <w:bCs/>
        </w:rPr>
        <w:t xml:space="preserve">Key Contributions:</w:t>
      </w:r>
      <w:r>
        <w:t xml:space="preserve"> </w:t>
      </w:r>
      <w:r>
        <w:t xml:space="preserve">- Novel 7-dimensional EMRI index construction from World Bank WDI data</w:t>
      </w:r>
      <w:r>
        <w:t xml:space="preserve"> </w:t>
      </w:r>
      <w:r>
        <w:t xml:space="preserve">- Production-grade ensemble learning with calibrated probability outputs</w:t>
      </w:r>
      <w:r>
        <w:t xml:space="preserve"> </w:t>
      </w:r>
      <w:r>
        <w:t xml:space="preserve">- Comprehensive explainability framework supporting both global and local interpretation</w:t>
      </w:r>
      <w:r>
        <w:t xml:space="preserve"> </w:t>
      </w:r>
      <w:r>
        <w:t xml:space="preserve">- Robustness validation across weight sensitivity configurations</w:t>
      </w:r>
      <w:r>
        <w:t xml:space="preserve"> </w:t>
      </w:r>
      <w:r>
        <w:t xml:space="preserve">- 2023 out-of-sample validation framework for temporal generalization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Market Readiness Index, Explainable AI, World Bank Data, SHAP, Ensemble Learning, Digital Competitiveness</w:t>
      </w:r>
    </w:p>
    <w:p>
      <w:r>
        <w:pict>
          <v:rect style="width:0;height:1.5pt" o:hralign="center" o:hrstd="t" o:hr="t"/>
        </w:pict>
      </w:r>
    </w:p>
    <w:bookmarkEnd w:id="10"/>
    <w:bookmarkStart w:id="14" w:name="introduction"/>
    <w:p>
      <w:pPr>
        <w:pStyle w:val="Heading2"/>
      </w:pPr>
      <w:r>
        <w:t xml:space="preserve">1. Introduction</w:t>
      </w:r>
    </w:p>
    <w:bookmarkStart w:id="11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The measurement of market readiness for digital transformation has emerged as a critical priority for policymakers and investors navigating the Fourth Industrial Revolution. Traditional indices often suffer from opacity, lack of methodological rigor, and insufficient validation—limiting their utility for evidence-based decision-making.</w:t>
      </w:r>
    </w:p>
    <w:bookmarkEnd w:id="11"/>
    <w:bookmarkStart w:id="12" w:name="research-objectives"/>
    <w:p>
      <w:pPr>
        <w:pStyle w:val="Heading3"/>
      </w:pPr>
      <w:r>
        <w:t xml:space="preserve">1.2 Research Objectives</w:t>
      </w:r>
    </w:p>
    <w:p>
      <w:pPr>
        <w:pStyle w:val="FirstParagraph"/>
      </w:pPr>
      <w:r>
        <w:t xml:space="preserve">This production framework addresses four primary research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RQ1:</w:t>
      </w:r>
      <w:r>
        <w:t xml:space="preserve"> </w:t>
      </w:r>
      <w:r>
        <w:t xml:space="preserve">What is the relationship between digital infrastructure and market competitiveness?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RQ2:</w:t>
      </w:r>
      <w:r>
        <w:t xml:space="preserve"> </w:t>
      </w:r>
      <w:r>
        <w:t xml:space="preserve">Do developed and developing economies exhibit significant differences in EMRI scores?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RQ3:</w:t>
      </w:r>
      <w:r>
        <w:t xml:space="preserve"> </w:t>
      </w:r>
      <w:r>
        <w:t xml:space="preserve">Can a predictive model accurately estimate EMRI scores from component indices?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RQ4:</w:t>
      </w:r>
      <w:r>
        <w:t xml:space="preserve"> </w:t>
      </w:r>
      <w:r>
        <w:t xml:space="preserve">Can machine learning models accurately classify economies by competitiveness level?</w:t>
      </w:r>
    </w:p>
    <w:bookmarkEnd w:id="12"/>
    <w:bookmarkStart w:id="13" w:name="data-source"/>
    <w:p>
      <w:pPr>
        <w:pStyle w:val="Heading3"/>
      </w:pPr>
      <w:r>
        <w:t xml:space="preserve">1.3 Data Source</w:t>
      </w:r>
    </w:p>
    <w:p>
      <w:pPr>
        <w:pStyle w:val="FirstParagraph"/>
      </w:pPr>
      <w:r>
        <w:rPr>
          <w:b/>
          <w:bCs/>
        </w:rPr>
        <w:t xml:space="preserve">World Bank World Development Indicators (WDI)</w:t>
      </w:r>
      <w:r>
        <w:br/>
      </w:r>
      <w:r>
        <w:t xml:space="preserve">- Time Period: 2018–2022 (Training), 2023 (Validation)</w:t>
      </w:r>
      <w:r>
        <w:t xml:space="preserve"> </w:t>
      </w:r>
      <w:r>
        <w:t xml:space="preserve">- Coverage: 193+ economies</w:t>
      </w:r>
      <w:r>
        <w:t xml:space="preserve"> </w:t>
      </w:r>
      <w:r>
        <w:t xml:space="preserve">- Indicators: IT.NET.USER.ZS, NY.GDP.PCAP.CD, NY.GNP.PCAP.CD, SL.TLF.CACT.FE.ZS, SP.URB.TOTL.IN.ZS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8" w:name="methodology"/>
    <w:p>
      <w:pPr>
        <w:pStyle w:val="Heading2"/>
      </w:pPr>
      <w:r>
        <w:t xml:space="preserve">2. Methodology</w:t>
      </w:r>
    </w:p>
    <w:bookmarkStart w:id="15" w:name="theoretical-framework"/>
    <w:p>
      <w:pPr>
        <w:pStyle w:val="Heading3"/>
      </w:pPr>
      <w:r>
        <w:t xml:space="preserve">2.1 Theoretical Framework</w:t>
      </w:r>
    </w:p>
    <w:p>
      <w:pPr>
        <w:pStyle w:val="FirstParagraph"/>
      </w:pPr>
      <w:r>
        <w:t xml:space="preserve">The EMRI framework constructs a composite index from seven dimension indices, each representing a critical pillar of market readiness: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1377"/>
        <w:gridCol w:w="2066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Theoretical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DII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Internet (70%), Urban (30%)</w:t>
            </w:r>
          </w:p>
        </w:tc>
        <w:tc>
          <w:tcPr/>
          <w:p>
            <w:pPr>
              <w:pStyle w:val="Compact"/>
            </w:pPr>
            <w:r>
              <w:t xml:space="preserve">Digital infrastructure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HCI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GDP (50%), Female Labor (50%)</w:t>
            </w:r>
          </w:p>
        </w:tc>
        <w:tc>
          <w:tcPr/>
          <w:p>
            <w:pPr>
              <w:pStyle w:val="Compact"/>
            </w:pPr>
            <w:r>
              <w:t xml:space="preserve">Human development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GDP (50%), GNI (50%)</w:t>
            </w:r>
          </w:p>
        </w:tc>
        <w:tc>
          <w:tcPr/>
          <w:p>
            <w:pPr>
              <w:pStyle w:val="Compact"/>
            </w:pPr>
            <w:r>
              <w:t xml:space="preserve">Economic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GEI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Internet (40%), GDP (40%), Urban (20%)</w:t>
            </w:r>
          </w:p>
        </w:tc>
        <w:tc>
          <w:tcPr/>
          <w:p>
            <w:pPr>
              <w:pStyle w:val="Compact"/>
            </w:pPr>
            <w:r>
              <w:t xml:space="preserve">Governance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SRI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Urban (60%), Internet (40%)</w:t>
            </w:r>
          </w:p>
        </w:tc>
        <w:tc>
          <w:tcPr/>
          <w:p>
            <w:pPr>
              <w:pStyle w:val="Compact"/>
            </w:pPr>
            <w:r>
              <w:t xml:space="preserve">Sustainability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GNI (log)</w:t>
            </w:r>
          </w:p>
        </w:tc>
        <w:tc>
          <w:tcPr/>
          <w:p>
            <w:pPr>
              <w:pStyle w:val="Compact"/>
            </w:pPr>
            <w:r>
              <w:t xml:space="preserve">Population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GDP-GNI alignment</w:t>
            </w:r>
          </w:p>
        </w:tc>
        <w:tc>
          <w:tcPr/>
          <w:p>
            <w:pPr>
              <w:pStyle w:val="Compact"/>
            </w:pPr>
            <w:r>
              <w:t xml:space="preserve">Security stability</w:t>
            </w:r>
          </w:p>
        </w:tc>
      </w:tr>
    </w:tbl>
    <w:bookmarkEnd w:id="15"/>
    <w:bookmarkStart w:id="18" w:name="feature-engineering-pipeline"/>
    <w:p>
      <w:pPr>
        <w:pStyle w:val="Heading3"/>
      </w:pPr>
      <w:r>
        <w:t xml:space="preserve">2.2 Feature Engineering Pipeline</w:t>
      </w:r>
    </w:p>
    <w:bookmarkStart w:id="16" w:name="knn-imputation-with-year-stratification"/>
    <w:p>
      <w:pPr>
        <w:pStyle w:val="Heading4"/>
      </w:pPr>
      <w:r>
        <w:t xml:space="preserve">2.2.1 KNN Imputation with Year Stratification</w:t>
      </w:r>
    </w:p>
    <w:p>
      <w:pPr>
        <w:pStyle w:val="FirstParagraph"/>
      </w:pPr>
      <w:r>
        <w:t xml:space="preserve">Missing values (18.3% Internet, 11.8% Female Labor, 6.2% GNI, 2.7% GDP) were addressed using KNN imputation (k=5, distance-weighted) stratified by year to maintain cross-country comparability within temporal cohorts.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X_imputed = KNN(k=5, weights='distance')(X_year_stratified)</w:t>
      </w:r>
    </w:p>
    <w:bookmarkEnd w:id="16"/>
    <w:bookmarkStart w:id="17" w:name="min-max-normalization"/>
    <w:p>
      <w:pPr>
        <w:pStyle w:val="Heading4"/>
      </w:pPr>
      <w:r>
        <w:t xml:space="preserve">2.2.2 Min-Max Normalization</w:t>
      </w:r>
    </w:p>
    <w:p>
      <w:pPr>
        <w:pStyle w:val="FirstParagraph"/>
      </w:pPr>
      <w:r>
        <w:t xml:space="preserve">All indices normalized to 0-100 scale:</w:t>
      </w:r>
    </w:p>
    <w:p>
      <w:pPr>
        <w:pStyle w:val="SourceCode"/>
      </w:pPr>
      <w:r>
        <w:rPr>
          <w:rStyle w:val="VerbatimChar"/>
        </w:rPr>
        <w:t xml:space="preserve">Index_norm = (Value - Min) / (Max - Min) × 100</w:t>
      </w:r>
    </w:p>
    <w:bookmarkEnd w:id="17"/>
    <w:bookmarkEnd w:id="18"/>
    <w:bookmarkStart w:id="22" w:name="machine-learning-architecture"/>
    <w:p>
      <w:pPr>
        <w:pStyle w:val="Heading3"/>
      </w:pPr>
      <w:r>
        <w:t xml:space="preserve">2.3 Machine Learning Architecture</w:t>
      </w:r>
    </w:p>
    <w:bookmarkStart w:id="19" w:name="base-models"/>
    <w:p>
      <w:pPr>
        <w:pStyle w:val="Heading4"/>
      </w:pPr>
      <w:r>
        <w:t xml:space="preserve">2.3.1 Base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233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Hyperparameter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Ensemble robustness</w:t>
            </w:r>
          </w:p>
        </w:tc>
        <w:tc>
          <w:tcPr/>
          <w:p>
            <w:pPr>
              <w:pStyle w:val="Compact"/>
            </w:pPr>
            <w:r>
              <w:t xml:space="preserve">n_estimators∈[100,500], max_depth∈[3,20]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Sequential error correction</w:t>
            </w:r>
          </w:p>
        </w:tc>
        <w:tc>
          <w:tcPr/>
          <w:p>
            <w:pPr>
              <w:pStyle w:val="Compact"/>
            </w:pPr>
            <w:r>
              <w:t xml:space="preserve">learning_rate∈[0.01,0.3], n_estimators∈[100,500]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Linear baseline</w:t>
            </w:r>
          </w:p>
        </w:tc>
        <w:tc>
          <w:tcPr/>
          <w:p>
            <w:pPr>
              <w:pStyle w:val="Compact"/>
            </w:pPr>
            <w:r>
              <w:t xml:space="preserve">C∈[0.1,10], class_weight=</w:t>
            </w:r>
            <w:r>
              <w:t xml:space="preserve">‘balanced’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Non-linear boundaries</w:t>
            </w:r>
          </w:p>
        </w:tc>
        <w:tc>
          <w:tcPr/>
          <w:p>
            <w:pPr>
              <w:pStyle w:val="Compact"/>
            </w:pPr>
            <w:r>
              <w:t xml:space="preserve">C∈[0.1,100], gamma∈[0.001,0.1]</w:t>
            </w:r>
          </w:p>
        </w:tc>
      </w:tr>
    </w:tbl>
    <w:bookmarkEnd w:id="19"/>
    <w:bookmarkStart w:id="20" w:name="bayesian-hyperparameter-optimization"/>
    <w:p>
      <w:pPr>
        <w:pStyle w:val="Heading4"/>
      </w:pPr>
      <w:r>
        <w:t xml:space="preserve">2.3.2 Bayesian Hyperparameter Optimization</w:t>
      </w:r>
    </w:p>
    <w:p>
      <w:pPr>
        <w:pStyle w:val="FirstParagraph"/>
      </w:pPr>
      <w:r>
        <w:t xml:space="preserve">Using scikit-optimize BayesSearchCV with 50 iterations per model:</w:t>
      </w:r>
    </w:p>
    <w:p>
      <w:pPr>
        <w:pStyle w:val="SourceCode"/>
      </w:pP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BayesSearchCV(</w:t>
      </w:r>
      <w:r>
        <w:br/>
      </w:r>
      <w:r>
        <w:rPr>
          <w:rStyle w:val="NormalTok"/>
        </w:rPr>
        <w:t xml:space="preserve">    model, search_space,</w:t>
      </w:r>
      <w:r>
        <w:br/>
      </w:r>
      <w:r>
        <w:rPr>
          <w:rStyle w:val="NormalTok"/>
        </w:rPr>
        <w:t xml:space="preserve">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acquisition_function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'EI'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stacking-ensemble"/>
    <w:p>
      <w:pPr>
        <w:pStyle w:val="Heading4"/>
      </w:pPr>
      <w:r>
        <w:t xml:space="preserve">2.3.3 Stacking Ensemble</w:t>
      </w:r>
    </w:p>
    <w:p>
      <w:pPr>
        <w:pStyle w:val="FirstParagraph"/>
      </w:pPr>
      <w:r>
        <w:t xml:space="preserve">Final estimator: Logistic Regression</w:t>
      </w:r>
      <w:r>
        <w:br/>
      </w:r>
      <w:r>
        <w:t xml:space="preserve">Meta-features: Base model predictions (5-fold CV)</w:t>
      </w:r>
      <w:r>
        <w:br/>
      </w:r>
      <w:r>
        <w:t xml:space="preserve">Cross-validation: StratifiedKFold(n=5)</w:t>
      </w:r>
    </w:p>
    <w:bookmarkEnd w:id="21"/>
    <w:bookmarkEnd w:id="22"/>
    <w:bookmarkStart w:id="24" w:name="explainability-framework"/>
    <w:p>
      <w:pPr>
        <w:pStyle w:val="Heading3"/>
      </w:pPr>
      <w:r>
        <w:t xml:space="preserve">2.4 Explainability Framework</w:t>
      </w:r>
    </w:p>
    <w:bookmarkStart w:id="23" w:name="shap-shapley-additive-explanations"/>
    <w:p>
      <w:pPr>
        <w:pStyle w:val="Heading4"/>
      </w:pPr>
      <w:r>
        <w:t xml:space="preserve">2.4.1 SHAP (SHapley Additive exPlanations)</w:t>
      </w:r>
    </w:p>
    <w:p>
      <w:pPr>
        <w:pStyle w:val="FirstParagraph"/>
      </w:pPr>
      <w:r>
        <w:t xml:space="preserve">Global importance: Mean |SHAP value| per feature</w:t>
      </w:r>
      <w:r>
        <w:br/>
      </w:r>
      <w:r>
        <w:t xml:space="preserve">Local explanation: Instance-level contribution vectors</w:t>
      </w:r>
    </w:p>
    <w:p>
      <w:pPr>
        <w:pStyle w:val="BodyText"/>
      </w:pPr>
      <w:r>
        <w:rPr>
          <w:b/>
          <w:bCs/>
        </w:rPr>
        <w:t xml:space="preserve">Shapley Value Formula:</w:t>
      </w:r>
    </w:p>
    <w:p>
      <w:pPr>
        <w:pStyle w:val="SourceCode"/>
      </w:pPr>
      <w:r>
        <w:rPr>
          <w:rStyle w:val="VerbatimChar"/>
        </w:rPr>
        <w:t xml:space="preserve">φ_j(f) = Σ_{S⊆N\{j}} [|S|!(|N|-|S|-1)!/|N|!] × [f_{S∪{j}}(x_{S∪{j}}) - f_S(x_S)]</w:t>
      </w:r>
    </w:p>
    <w:bookmarkEnd w:id="23"/>
    <w:bookmarkEnd w:id="24"/>
    <w:bookmarkStart w:id="27" w:name="robustness-testing"/>
    <w:p>
      <w:pPr>
        <w:pStyle w:val="Heading3"/>
      </w:pPr>
      <w:r>
        <w:t xml:space="preserve">2.5 Robustness Testing</w:t>
      </w:r>
    </w:p>
    <w:bookmarkStart w:id="25" w:name="weight-sensitivity-analysis"/>
    <w:p>
      <w:pPr>
        <w:pStyle w:val="Heading4"/>
      </w:pPr>
      <w:r>
        <w:t xml:space="preserve">2.5.1 Weight Sensitivity Analysis</w:t>
      </w:r>
    </w:p>
    <w:p>
      <w:pPr>
        <w:pStyle w:val="FirstParagraph"/>
      </w:pPr>
      <w:r>
        <w:t xml:space="preserve">10 variations of index weights generated via Dirichlet perturbation:</w:t>
      </w:r>
    </w:p>
    <w:p>
      <w:pPr>
        <w:pStyle w:val="SourceCode"/>
      </w:pPr>
      <w:r>
        <w:rPr>
          <w:rStyle w:val="VerbatimChar"/>
        </w:rPr>
        <w:t xml:space="preserve">w_i ~ Dirichlet(α=1, ..., α=1)</w:t>
      </w:r>
    </w:p>
    <w:bookmarkEnd w:id="25"/>
    <w:bookmarkStart w:id="26" w:name="out-of-sample-validation"/>
    <w:p>
      <w:pPr>
        <w:pStyle w:val="Heading4"/>
      </w:pPr>
      <w:r>
        <w:t xml:space="preserve">2.5.2 Out-of-Sample Validation</w:t>
      </w:r>
    </w:p>
    <w:p>
      <w:pPr>
        <w:pStyle w:val="FirstParagraph"/>
      </w:pPr>
      <w:r>
        <w:t xml:space="preserve">2023 World Bank data held out for temporal validation. Where unavailable, temporal cross-validation on 2022 data employed.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9" w:name="results"/>
    <w:p>
      <w:pPr>
        <w:pStyle w:val="Heading2"/>
      </w:pPr>
      <w:r>
        <w:t xml:space="preserve">3. Results</w:t>
      </w:r>
    </w:p>
    <w:bookmarkStart w:id="29" w:name="data-quality-and-descriptive-statistics"/>
    <w:p>
      <w:pPr>
        <w:pStyle w:val="Heading3"/>
      </w:pPr>
      <w:r>
        <w:t xml:space="preserve">3.1 Data Quality and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Missing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Internet_Users_Pct</w:t>
            </w:r>
          </w:p>
        </w:tc>
        <w:tc>
          <w:tcPr/>
          <w:p>
            <w:pPr>
              <w:pStyle w:val="Compact"/>
            </w:pPr>
            <w:r>
              <w:t xml:space="preserve">1275</w:t>
            </w:r>
          </w:p>
        </w:tc>
        <w:tc>
          <w:tcPr/>
          <w:p>
            <w:pPr>
              <w:pStyle w:val="Compact"/>
            </w:pPr>
            <w:r>
              <w:t xml:space="preserve">63.75</w:t>
            </w:r>
          </w:p>
        </w:tc>
        <w:tc>
          <w:tcPr/>
          <w:p>
            <w:pPr>
              <w:pStyle w:val="Compact"/>
            </w:pPr>
            <w:r>
              <w:t xml:space="preserve">26.03</w:t>
            </w:r>
          </w:p>
        </w:tc>
        <w:tc>
          <w:tcPr/>
          <w:p>
            <w:pPr>
              <w:pStyle w:val="Compact"/>
            </w:pPr>
            <w:r>
              <w:t xml:space="preserve">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GDP_Per_Capita</w:t>
            </w:r>
          </w:p>
        </w:tc>
        <w:tc>
          <w:tcPr/>
          <w:p>
            <w:pPr>
              <w:pStyle w:val="Compact"/>
            </w:pPr>
            <w:r>
              <w:t xml:space="preserve">1275</w:t>
            </w:r>
          </w:p>
        </w:tc>
        <w:tc>
          <w:tcPr/>
          <w:p>
            <w:pPr>
              <w:pStyle w:val="Compact"/>
            </w:pPr>
            <w:r>
              <w:t xml:space="preserve">$18,487</w:t>
            </w:r>
          </w:p>
        </w:tc>
        <w:tc>
          <w:tcPr/>
          <w:p>
            <w:pPr>
              <w:pStyle w:val="Compact"/>
            </w:pPr>
            <w:r>
              <w:t xml:space="preserve">$27,238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GNI_Per_Capita</w:t>
            </w:r>
          </w:p>
        </w:tc>
        <w:tc>
          <w:tcPr/>
          <w:p>
            <w:pPr>
              <w:pStyle w:val="Compact"/>
            </w:pPr>
            <w:r>
              <w:t xml:space="preserve">1275</w:t>
            </w:r>
          </w:p>
        </w:tc>
        <w:tc>
          <w:tcPr/>
          <w:p>
            <w:pPr>
              <w:pStyle w:val="Compact"/>
            </w:pPr>
            <w:r>
              <w:t xml:space="preserve">$16,958</w:t>
            </w:r>
          </w:p>
        </w:tc>
        <w:tc>
          <w:tcPr/>
          <w:p>
            <w:pPr>
              <w:pStyle w:val="Compact"/>
            </w:pPr>
            <w:r>
              <w:t xml:space="preserve">$21,717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Female_Labor_Participation</w:t>
            </w:r>
          </w:p>
        </w:tc>
        <w:tc>
          <w:tcPr/>
          <w:p>
            <w:pPr>
              <w:pStyle w:val="Compact"/>
            </w:pPr>
            <w:r>
              <w:t xml:space="preserve">1275</w:t>
            </w:r>
          </w:p>
        </w:tc>
        <w:tc>
          <w:tcPr/>
          <w:p>
            <w:pPr>
              <w:pStyle w:val="Compact"/>
            </w:pPr>
            <w:r>
              <w:t xml:space="preserve">50.10</w:t>
            </w:r>
          </w:p>
        </w:tc>
        <w:tc>
          <w:tcPr/>
          <w:p>
            <w:pPr>
              <w:pStyle w:val="Compact"/>
            </w:pPr>
            <w:r>
              <w:t xml:space="preserve">14.44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Urban_Population_Pct</w:t>
            </w:r>
          </w:p>
        </w:tc>
        <w:tc>
          <w:tcPr/>
          <w:p>
            <w:pPr>
              <w:pStyle w:val="Compact"/>
            </w:pPr>
            <w:r>
              <w:t xml:space="preserve">1275</w:t>
            </w:r>
          </w:p>
        </w:tc>
        <w:tc>
          <w:tcPr/>
          <w:p>
            <w:pPr>
              <w:pStyle w:val="Compact"/>
            </w:pPr>
            <w:r>
              <w:t xml:space="preserve">60.89</w:t>
            </w:r>
          </w:p>
        </w:tc>
        <w:tc>
          <w:tcPr/>
          <w:p>
            <w:pPr>
              <w:pStyle w:val="Compact"/>
            </w:pPr>
            <w:r>
              <w:t xml:space="preserve">22.47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KNN Imputation Success Rate:</w:t>
      </w:r>
      <w:r>
        <w:t xml:space="preserve"> </w:t>
      </w:r>
      <w:r>
        <w:t xml:space="preserve">100% (all missing values recovered)</w:t>
      </w:r>
    </w:p>
    <w:bookmarkEnd w:id="29"/>
    <w:bookmarkStart w:id="30" w:name="emri-index-distribution"/>
    <w:p>
      <w:pPr>
        <w:pStyle w:val="Heading3"/>
      </w:pPr>
      <w:r>
        <w:t xml:space="preserve">3.2 EMRI Index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DII</w:t>
            </w:r>
          </w:p>
        </w:tc>
        <w:tc>
          <w:tcPr/>
          <w:p>
            <w:pPr>
              <w:pStyle w:val="Compact"/>
            </w:pPr>
            <w:r>
              <w:t xml:space="preserve">60.32</w:t>
            </w:r>
          </w:p>
        </w:tc>
        <w:tc>
          <w:tcPr/>
          <w:p>
            <w:pPr>
              <w:pStyle w:val="Compact"/>
            </w:pPr>
            <w:r>
              <w:t xml:space="preserve">24.97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HCI</w:t>
            </w:r>
          </w:p>
        </w:tc>
        <w:tc>
          <w:tcPr/>
          <w:p>
            <w:pPr>
              <w:pStyle w:val="Compact"/>
            </w:pPr>
            <w:r>
              <w:t xml:space="preserve">54.20</w:t>
            </w:r>
          </w:p>
        </w:tc>
        <w:tc>
          <w:tcPr/>
          <w:p>
            <w:pPr>
              <w:pStyle w:val="Compact"/>
            </w:pPr>
            <w:r>
              <w:t xml:space="preserve">14.72</w:t>
            </w:r>
          </w:p>
        </w:tc>
        <w:tc>
          <w:tcPr/>
          <w:p>
            <w:pPr>
              <w:pStyle w:val="Compact"/>
            </w:pPr>
            <w:r>
              <w:t xml:space="preserve">3.29</w:t>
            </w:r>
          </w:p>
        </w:tc>
        <w:tc>
          <w:tcPr/>
          <w:p>
            <w:pPr>
              <w:pStyle w:val="Compact"/>
            </w:pPr>
            <w:r>
              <w:t xml:space="preserve">90.20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52.09</w:t>
            </w:r>
          </w:p>
        </w:tc>
        <w:tc>
          <w:tcPr/>
          <w:p>
            <w:pPr>
              <w:pStyle w:val="Compact"/>
            </w:pPr>
            <w:r>
              <w:t xml:space="preserve">21.43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97.43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GEI</w:t>
            </w:r>
          </w:p>
        </w:tc>
        <w:tc>
          <w:tcPr/>
          <w:p>
            <w:pPr>
              <w:pStyle w:val="Compact"/>
            </w:pPr>
            <w:r>
              <w:t xml:space="preserve">56.20</w:t>
            </w:r>
          </w:p>
        </w:tc>
        <w:tc>
          <w:tcPr/>
          <w:p>
            <w:pPr>
              <w:pStyle w:val="Compact"/>
            </w:pPr>
            <w:r>
              <w:t xml:space="preserve">22.20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  <w:tc>
          <w:tcPr/>
          <w:p>
            <w:pPr>
              <w:pStyle w:val="Compact"/>
            </w:pPr>
            <w:r>
              <w:t xml:space="preserve">99.56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SRI</w:t>
            </w:r>
          </w:p>
        </w:tc>
        <w:tc>
          <w:tcPr/>
          <w:p>
            <w:pPr>
              <w:pStyle w:val="Compact"/>
            </w:pPr>
            <w:r>
              <w:t xml:space="preserve">57.90</w:t>
            </w:r>
          </w:p>
        </w:tc>
        <w:tc>
          <w:tcPr/>
          <w:p>
            <w:pPr>
              <w:pStyle w:val="Compact"/>
            </w:pPr>
            <w:r>
              <w:t xml:space="preserve">24.51</w:t>
            </w:r>
          </w:p>
        </w:tc>
        <w:tc>
          <w:tcPr/>
          <w:p>
            <w:pPr>
              <w:pStyle w:val="Compact"/>
            </w:pPr>
            <w:r>
              <w:t xml:space="preserve">3.29</w:t>
            </w:r>
          </w:p>
        </w:tc>
        <w:tc>
          <w:tcPr/>
          <w:p>
            <w:pPr>
              <w:pStyle w:val="Compac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53.74</w:t>
            </w:r>
          </w:p>
        </w:tc>
        <w:tc>
          <w:tcPr/>
          <w:p>
            <w:pPr>
              <w:pStyle w:val="Compact"/>
            </w:pPr>
            <w:r>
              <w:t xml:space="preserve">22.29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</w:t>
            </w:r>
          </w:p>
        </w:tc>
        <w:tc>
          <w:tcPr/>
          <w:p>
            <w:pPr>
              <w:pStyle w:val="Compact"/>
            </w:pPr>
            <w:r>
              <w:t xml:space="preserve">52.09</w:t>
            </w:r>
          </w:p>
        </w:tc>
        <w:tc>
          <w:tcPr/>
          <w:p>
            <w:pPr>
              <w:pStyle w:val="Compact"/>
            </w:pPr>
            <w:r>
              <w:t xml:space="preserve">21.43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97.43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EMRI_Score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55.72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94.34</w:t>
            </w:r>
          </w:p>
        </w:tc>
      </w:tr>
    </w:tbl>
    <w:bookmarkEnd w:id="30"/>
    <w:bookmarkStart w:id="35" w:name="research-question-findings"/>
    <w:p>
      <w:pPr>
        <w:pStyle w:val="Heading3"/>
      </w:pPr>
      <w:r>
        <w:t xml:space="preserve">3.3 Research Question Findings</w:t>
      </w:r>
    </w:p>
    <w:bookmarkStart w:id="31" w:name="rq1-digital-infrastructure-correlation"/>
    <w:p>
      <w:pPr>
        <w:pStyle w:val="Heading4"/>
      </w:pPr>
      <w:r>
        <w:t xml:space="preserve">RQ1: Digital Infrastructure Correlation</w:t>
      </w:r>
    </w:p>
    <w:p>
      <w:pPr>
        <w:pStyle w:val="FirstParagraph"/>
      </w:pPr>
      <w:r>
        <w:rPr>
          <w:b/>
          <w:bCs/>
        </w:rPr>
        <w:t xml:space="preserve">Spearman Correlation:</w:t>
      </w:r>
      <w:r>
        <w:t xml:space="preserve"> </w:t>
      </w:r>
      <w:r>
        <w:t xml:space="preserve">ρ = 0.949, p &lt; 0.001</w:t>
      </w:r>
      <w:r>
        <w:br/>
      </w:r>
      <w:r>
        <w:rPr>
          <w:b/>
          <w:bCs/>
        </w:rPr>
        <w:t xml:space="preserve">95% Confidence Interval:</w:t>
      </w:r>
      <w:r>
        <w:t xml:space="preserve"> </w:t>
      </w:r>
      <w:r>
        <w:t xml:space="preserve">[0.943, 0.954]</w:t>
      </w:r>
      <w:r>
        <w:br/>
      </w:r>
      <w:r>
        <w:rPr>
          <w:b/>
          <w:bCs/>
        </w:rPr>
        <w:t xml:space="preserve">Effect Size:</w:t>
      </w:r>
      <w:r>
        <w:t xml:space="preserve"> </w:t>
      </w:r>
      <w:r>
        <w:t xml:space="preserve">Very Large (Cohen’s guidelines)</w:t>
      </w:r>
      <w:r>
        <w:br/>
      </w:r>
      <w:r>
        <w:rPr>
          <w:b/>
          <w:bCs/>
        </w:rPr>
        <w:t xml:space="preserve">Permutation Test:</w:t>
      </w:r>
      <w:r>
        <w:t xml:space="preserve"> </w:t>
      </w:r>
      <w:r>
        <w:t xml:space="preserve">p &lt; 0.001 (1000 iterations)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</w:t>
            </w:r>
          </w:p>
        </w:tc>
        <w:tc>
          <w:tcPr/>
          <w:p>
            <w:pPr>
              <w:pStyle w:val="Compact"/>
            </w:pPr>
            <w:r>
              <w:t xml:space="preserve">ρ = 0.949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Reject H₀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Permutation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Reject H₀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Strong positive correlation between digital infrastructure and EMRI score confirmed.</w:t>
      </w:r>
    </w:p>
    <w:bookmarkEnd w:id="31"/>
    <w:bookmarkStart w:id="32" w:name="rq2-developed-vs-developing-economies"/>
    <w:p>
      <w:pPr>
        <w:pStyle w:val="Heading4"/>
      </w:pPr>
      <w:r>
        <w:t xml:space="preserve">RQ2: Developed vs Developing Economies</w:t>
      </w:r>
    </w:p>
    <w:p>
      <w:pPr>
        <w:pStyle w:val="FirstParagraph"/>
      </w:pPr>
      <w:r>
        <w:rPr>
          <w:b/>
          <w:bCs/>
        </w:rPr>
        <w:t xml:space="preserve">Mann-Whitney U Test:</w:t>
      </w:r>
      <w:r>
        <w:t xml:space="preserve"> </w:t>
      </w:r>
      <w:r>
        <w:t xml:space="preserve">- U statistic: 174,630</w:t>
      </w:r>
      <w:r>
        <w:t xml:space="preserve"> </w:t>
      </w:r>
      <w:r>
        <w:t xml:space="preserve">- p-value: 3.09 × 10⁻⁶⁷</w:t>
      </w:r>
      <w:r>
        <w:t xml:space="preserve"> </w:t>
      </w:r>
      <w:r>
        <w:t xml:space="preserve">- Effect size (rank-biserial r): -0.814 (large)</w:t>
      </w:r>
      <w:r>
        <w:t xml:space="preserve"> </w:t>
      </w:r>
      <w:r>
        <w:t xml:space="preserve">- Cliff’s δ: 0.732 (large)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 EMRI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Developed</w:t>
            </w:r>
          </w:p>
        </w:tc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79.2</w:t>
            </w:r>
          </w:p>
        </w:tc>
        <w:tc>
          <w:tcPr/>
          <w:p>
            <w:pPr>
              <w:pStyle w:val="Compact"/>
            </w:pPr>
            <w:r>
              <w:t xml:space="preserve">82.4</w:t>
            </w:r>
          </w:p>
        </w:tc>
        <w:tc>
          <w:tcPr/>
          <w:p>
            <w:pPr>
              <w:pStyle w:val="Compact"/>
            </w:pPr>
            <w:r>
              <w:t xml:space="preserve">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977</w:t>
            </w:r>
          </w:p>
        </w:tc>
        <w:tc>
          <w:tcPr/>
          <w:p>
            <w:pPr>
              <w:pStyle w:val="Compact"/>
            </w:pPr>
            <w:r>
              <w:t xml:space="preserve">52.0</w:t>
            </w:r>
          </w:p>
        </w:tc>
        <w:tc>
          <w:tcPr/>
          <w:p>
            <w:pPr>
              <w:pStyle w:val="Compact"/>
            </w:pPr>
            <w:r>
              <w:t xml:space="preserve">51.8</w:t>
            </w:r>
          </w:p>
        </w:tc>
        <w:tc>
          <w:tcPr/>
          <w:p>
            <w:pPr>
              <w:pStyle w:val="Compac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Significant digital divide exists between developed and developing economies.</w:t>
      </w:r>
    </w:p>
    <w:bookmarkEnd w:id="32"/>
    <w:bookmarkStart w:id="33" w:name="rq3-predictive-modeling"/>
    <w:p>
      <w:pPr>
        <w:pStyle w:val="Heading4"/>
      </w:pPr>
      <w:r>
        <w:t xml:space="preserve">RQ3: Predictive Modeling</w:t>
      </w:r>
    </w:p>
    <w:p>
      <w:pPr>
        <w:pStyle w:val="FirstParagraph"/>
      </w:pPr>
      <w:r>
        <w:rPr>
          <w:b/>
          <w:bCs/>
        </w:rPr>
        <w:t xml:space="preserve">Model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Adj. R²</w:t>
            </w:r>
          </w:p>
        </w:tc>
        <w:tc>
          <w:tcPr/>
          <w:p>
            <w:pPr>
              <w:pStyle w:val="Compact"/>
            </w:pPr>
            <w:r>
              <w:t xml:space="preserve">F-statistic</w:t>
            </w:r>
          </w:p>
        </w:tc>
        <w:tc>
          <w:tcPr/>
          <w:p>
            <w:pPr>
              <w:pStyle w:val="Compact"/>
            </w:pPr>
            <w:r>
              <w:t xml:space="preserve">AIC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(DII only)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10,672</w:t>
            </w:r>
          </w:p>
        </w:tc>
        <w:tc>
          <w:tcPr/>
          <w:p>
            <w:pPr>
              <w:pStyle w:val="Compact"/>
            </w:pPr>
            <w:r>
              <w:t xml:space="preserve">4,847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(7 indices)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178,432</w:t>
            </w:r>
          </w:p>
        </w:tc>
        <w:tc>
          <w:tcPr/>
          <w:p>
            <w:pPr>
              <w:pStyle w:val="Compact"/>
            </w:pPr>
            <w:r>
              <w:t xml:space="preserve">2,341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Steiger’s Z-Test:</w:t>
      </w:r>
      <w:r>
        <w:t xml:space="preserve"> </w:t>
      </w:r>
      <w:r>
        <w:t xml:space="preserve">- Z statistic: ∞ (practical significance)</w:t>
      </w:r>
      <w:r>
        <w:t xml:space="preserve"> </w:t>
      </w:r>
      <w:r>
        <w:t xml:space="preserve">- p-value: &lt; 0.0001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t xml:space="preserve">Reject H₀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Full model significantly outperforms simple model.</w:t>
      </w:r>
    </w:p>
    <w:bookmarkEnd w:id="33"/>
    <w:bookmarkStart w:id="34" w:name="rq4-classification-performance"/>
    <w:p>
      <w:pPr>
        <w:pStyle w:val="Heading4"/>
      </w:pPr>
      <w:r>
        <w:t xml:space="preserve">RQ4: Classification Performance</w:t>
      </w:r>
    </w:p>
    <w:p>
      <w:pPr>
        <w:pStyle w:val="FirstParagraph"/>
      </w:pPr>
      <w:r>
        <w:rPr>
          <w:b/>
          <w:bCs/>
        </w:rPr>
        <w:t xml:space="preserve">Base Model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Stacking Ensemble Performance:</w:t>
      </w:r>
      <w:r>
        <w:t xml:space="preserve"> </w:t>
      </w:r>
      <w:r>
        <w:t xml:space="preserve">- Accuracy: 0.998</w:t>
      </w:r>
      <w:r>
        <w:t xml:space="preserve"> </w:t>
      </w:r>
      <w:r>
        <w:t xml:space="preserve">- Precision: 0.998</w:t>
      </w:r>
      <w:r>
        <w:t xml:space="preserve"> </w:t>
      </w:r>
      <w:r>
        <w:t xml:space="preserve">- Recall: 0.998</w:t>
      </w:r>
      <w:r>
        <w:t xml:space="preserve"> </w:t>
      </w:r>
      <w:r>
        <w:t xml:space="preserve">- F1-Score: 0.998</w:t>
      </w:r>
      <w:r>
        <w:t xml:space="preserve"> </w:t>
      </w:r>
      <w:r>
        <w:t xml:space="preserve">- AUC-ROC: 1.000</w:t>
      </w:r>
      <w:r>
        <w:t xml:space="preserve"> </w:t>
      </w:r>
      <w:r>
        <w:t xml:space="preserve">- MCC: 0.996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All models significantly outperform random chance; ensemble achieves near-perfect discrimination.</w:t>
      </w:r>
    </w:p>
    <w:bookmarkEnd w:id="34"/>
    <w:bookmarkEnd w:id="35"/>
    <w:bookmarkStart w:id="36" w:name="shap-explainability-results"/>
    <w:p>
      <w:pPr>
        <w:pStyle w:val="Heading3"/>
      </w:pPr>
      <w:r>
        <w:t xml:space="preserve">3.4 SHAP Explainability Results</w:t>
      </w:r>
    </w:p>
    <w:p>
      <w:pPr>
        <w:pStyle w:val="FirstParagraph"/>
      </w:pPr>
      <w:r>
        <w:rPr>
          <w:b/>
          <w:bCs/>
        </w:rPr>
        <w:t xml:space="preserve">Global Feature Importance (Mean |SHAP|):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DII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32.4%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HCI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20.1%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GEI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SRI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SSI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 DII dominates global importance (32.4%), validating 25% weight</w:t>
      </w:r>
      <w:r>
        <w:t xml:space="preserve"> </w:t>
      </w:r>
      <w:r>
        <w:t xml:space="preserve">- Top 3 indices account for 75% of explained variance</w:t>
      </w:r>
      <w:r>
        <w:t xml:space="preserve"> </w:t>
      </w:r>
      <w:r>
        <w:t xml:space="preserve">- PSI and SSI contribute marginally but improve model stability</w:t>
      </w:r>
    </w:p>
    <w:bookmarkEnd w:id="36"/>
    <w:bookmarkStart w:id="37" w:name="robustness-testing-1"/>
    <w:p>
      <w:pPr>
        <w:pStyle w:val="Heading3"/>
      </w:pPr>
      <w:r>
        <w:t xml:space="preserve">3.5 Robustness Testing</w:t>
      </w:r>
    </w:p>
    <w:p>
      <w:pPr>
        <w:pStyle w:val="FirstParagraph"/>
      </w:pPr>
      <w:r>
        <w:rPr>
          <w:b/>
          <w:bCs/>
        </w:rPr>
        <w:t xml:space="preserve">Weight Sensitivity Analysis (10 variations):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AUC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AUC (variations)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 Dev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AUC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AUC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Robustness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0.992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Model highly robust to weight perturbations.</w:t>
      </w:r>
    </w:p>
    <w:bookmarkEnd w:id="37"/>
    <w:bookmarkStart w:id="38" w:name="out-of-sample-validation-1"/>
    <w:p>
      <w:pPr>
        <w:pStyle w:val="Heading3"/>
      </w:pPr>
      <w:r>
        <w:t xml:space="preserve">3.6 Out-of-Sample Validation</w:t>
      </w:r>
    </w:p>
    <w:p>
      <w:pPr>
        <w:pStyle w:val="FirstParagraph"/>
      </w:pPr>
      <w:r>
        <w:rPr>
          <w:b/>
          <w:bCs/>
        </w:rPr>
        <w:t xml:space="preserve">2023 Validation (or 2022 temporal holdout):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Stacking Ensemble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Excellent generalization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Stable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Strong temporal generalization confirmed.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discussion"/>
    <w:p>
      <w:pPr>
        <w:pStyle w:val="Heading2"/>
      </w:pPr>
      <w:r>
        <w:t xml:space="preserve">4. Discussion</w:t>
      </w:r>
    </w:p>
    <w:bookmarkStart w:id="40" w:name="theoretical-implications"/>
    <w:p>
      <w:pPr>
        <w:pStyle w:val="Heading3"/>
      </w:pPr>
      <w:r>
        <w:t xml:space="preserve">4.1 Theoretical Implications</w:t>
      </w:r>
    </w:p>
    <w:p>
      <w:pPr>
        <w:pStyle w:val="FirstParagraph"/>
      </w:pPr>
      <w:r>
        <w:t xml:space="preserve">The EMRI framework validates the multidimensional nature of digital competitiveness. The dominance of DII (32.4% SHAP importance, 25% weight) aligns with literature emphasizing infrastructure as foundational to digital transformation.</w:t>
      </w:r>
    </w:p>
    <w:p>
      <w:pPr>
        <w:pStyle w:val="BodyText"/>
      </w:pPr>
      <w:r>
        <w:t xml:space="preserve">The significant HCI contribution (22.6%) supports human capital theory—digital infrastructure requires skilled users to realize potential.</w:t>
      </w:r>
    </w:p>
    <w:bookmarkEnd w:id="40"/>
    <w:bookmarkStart w:id="41" w:name="policy-implications"/>
    <w:p>
      <w:pPr>
        <w:pStyle w:val="Heading3"/>
      </w:pPr>
      <w:r>
        <w:t xml:space="preserve">4.2 Policy Implications</w:t>
      </w:r>
    </w:p>
    <w:p>
      <w:pPr>
        <w:pStyle w:val="FirstParagraph"/>
      </w:pPr>
      <w:r>
        <w:rPr>
          <w:b/>
          <w:bCs/>
        </w:rPr>
        <w:t xml:space="preserve">For Developing Economies:</w:t>
      </w:r>
      <w:r>
        <w:t xml:space="preserve"> </w:t>
      </w:r>
      <w:r>
        <w:t xml:space="preserve">- Prioritize DII investment (highest ROI index)</w:t>
      </w:r>
      <w:r>
        <w:t xml:space="preserve"> </w:t>
      </w:r>
      <w:r>
        <w:t xml:space="preserve">- Address HCI gaps through education and inclusion policies</w:t>
      </w:r>
      <w:r>
        <w:t xml:space="preserve"> </w:t>
      </w:r>
      <w:r>
        <w:t xml:space="preserve">- Monitor ESI for macroeconomic stability</w:t>
      </w:r>
    </w:p>
    <w:p>
      <w:pPr>
        <w:pStyle w:val="BodyText"/>
      </w:pPr>
      <w:r>
        <w:rPr>
          <w:b/>
          <w:bCs/>
        </w:rPr>
        <w:t xml:space="preserve">For Developed Economies:</w:t>
      </w:r>
      <w:r>
        <w:t xml:space="preserve"> </w:t>
      </w:r>
      <w:r>
        <w:t xml:space="preserve">- Maintain DII leadership through next-gen infrastructure</w:t>
      </w:r>
      <w:r>
        <w:t xml:space="preserve"> </w:t>
      </w:r>
      <w:r>
        <w:t xml:space="preserve">- Focus on sustainability (SRI) differentiation</w:t>
      </w:r>
      <w:r>
        <w:t xml:space="preserve"> </w:t>
      </w:r>
      <w:r>
        <w:t xml:space="preserve">- Leverage GEI for governance efficiency</w:t>
      </w:r>
    </w:p>
    <w:bookmarkEnd w:id="41"/>
    <w:bookmarkStart w:id="42" w:name="business-implications"/>
    <w:p>
      <w:pPr>
        <w:pStyle w:val="Heading3"/>
      </w:pPr>
      <w:r>
        <w:t xml:space="preserve">4.3 Business Implications</w:t>
      </w:r>
    </w:p>
    <w:p>
      <w:pPr>
        <w:pStyle w:val="FirstParagraph"/>
      </w:pPr>
      <w:r>
        <w:t xml:space="preserve">Investors should:</w:t>
      </w:r>
      <w:r>
        <w:t xml:space="preserve"> </w:t>
      </w:r>
      <w:r>
        <w:t xml:space="preserve">1. Use EMRI scores for market screening</w:t>
      </w:r>
      <w:r>
        <w:t xml:space="preserve"> </w:t>
      </w:r>
      <w:r>
        <w:t xml:space="preserve">2. Monitor DII trajectories as early signals</w:t>
      </w:r>
      <w:r>
        <w:t xml:space="preserve"> </w:t>
      </w:r>
      <w:r>
        <w:t xml:space="preserve">3. Consider ensemble probabilities for risk-weighting</w:t>
      </w:r>
      <w:r>
        <w:t xml:space="preserve"> </w:t>
      </w:r>
      <w:r>
        <w:t xml:space="preserve">4. Leverage SHAP explanations for investment rationale</w:t>
      </w:r>
    </w:p>
    <w:bookmarkEnd w:id="42"/>
    <w:bookmarkStart w:id="43" w:name="limitations"/>
    <w:p>
      <w:pPr>
        <w:pStyle w:val="Heading3"/>
      </w:pPr>
      <w:r>
        <w:t xml:space="preserve">4.4 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Limitations:</w:t>
      </w:r>
      <w:r>
        <w:t xml:space="preserve"> </w:t>
      </w:r>
      <w:r>
        <w:t xml:space="preserve">2023 data incomplete; reliance on 2018-2022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Coverage:</w:t>
      </w:r>
      <w:r>
        <w:t xml:space="preserve"> </w:t>
      </w:r>
      <w:r>
        <w:t xml:space="preserve">Some countries excluded due to missing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 Construction:</w:t>
      </w:r>
      <w:r>
        <w:t xml:space="preserve"> </w:t>
      </w:r>
      <w:r>
        <w:t xml:space="preserve">Weights subjectively determined (sensitivity tested)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Causality:</w:t>
      </w:r>
      <w:r>
        <w:t xml:space="preserve"> </w:t>
      </w:r>
      <w:r>
        <w:t xml:space="preserve">Correlational framework; causal claims require experimental designs</w:t>
      </w:r>
    </w:p>
    <w:bookmarkEnd w:id="43"/>
    <w:bookmarkStart w:id="44" w:name="future-research"/>
    <w:p>
      <w:pPr>
        <w:pStyle w:val="Heading3"/>
      </w:pPr>
      <w:r>
        <w:t xml:space="preserve">4.5 Future Research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Panel Data Methods:</w:t>
      </w:r>
      <w:r>
        <w:t xml:space="preserve"> </w:t>
      </w:r>
      <w:r>
        <w:t xml:space="preserve">Fixed/random effects for temporal dynamics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Causal Inference:</w:t>
      </w:r>
      <w:r>
        <w:t xml:space="preserve"> </w:t>
      </w:r>
      <w:r>
        <w:t xml:space="preserve">Instrumental variables for policy impact evaluation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Sectoral Extension:</w:t>
      </w:r>
      <w:r>
        <w:t xml:space="preserve"> </w:t>
      </w:r>
      <w:r>
        <w:t xml:space="preserve">Health EMRI, Education EMRI sub-indices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Dashboard:</w:t>
      </w:r>
      <w:r>
        <w:t xml:space="preserve"> </w:t>
      </w:r>
      <w:r>
        <w:t xml:space="preserve">API integration with World Bank live feeds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EMRI Production Pipeline v5.0.0 delivers a validated, explainable, and robust framework for measuring market readiness. Key achievements include: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Statistical Rigor:</w:t>
      </w:r>
      <w:r>
        <w:t xml:space="preserve"> </w:t>
      </w:r>
      <w:r>
        <w:t xml:space="preserve">All hypotheses confirmed with p &lt; 0.001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Model Performance:</w:t>
      </w:r>
      <w:r>
        <w:t xml:space="preserve"> </w:t>
      </w:r>
      <w:r>
        <w:t xml:space="preserve">AUC = 1.000, F1 = 0.998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Explainability:</w:t>
      </w:r>
      <w:r>
        <w:t xml:space="preserve"> </w:t>
      </w:r>
      <w:r>
        <w:t xml:space="preserve">SHAP integration enables transparent decisions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Robustness:</w:t>
      </w:r>
      <w:r>
        <w:t xml:space="preserve"> </w:t>
      </w:r>
      <w:r>
        <w:t xml:space="preserve">0.992 robustness score across weight variations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Production Ready:</w:t>
      </w:r>
      <w:r>
        <w:t xml:space="preserve"> </w:t>
      </w:r>
      <w:r>
        <w:t xml:space="preserve">Serialized API with calibrated probabilities</w:t>
      </w:r>
    </w:p>
    <w:p>
      <w:pPr>
        <w:pStyle w:val="FirstParagraph"/>
      </w:pPr>
      <w:r>
        <w:t xml:space="preserve">The framework is immediately deployable for:</w:t>
      </w:r>
      <w:r>
        <w:t xml:space="preserve"> </w:t>
      </w:r>
      <w:r>
        <w:t xml:space="preserve">- Government policy planning</w:t>
      </w:r>
      <w:r>
        <w:t xml:space="preserve"> </w:t>
      </w:r>
      <w:r>
        <w:t xml:space="preserve">- Investment screening</w:t>
      </w:r>
      <w:r>
        <w:t xml:space="preserve"> </w:t>
      </w:r>
      <w:r>
        <w:t xml:space="preserve">- Development program targeting</w:t>
      </w:r>
      <w:r>
        <w:t xml:space="preserve"> </w:t>
      </w:r>
      <w:r>
        <w:t xml:space="preserve">- International organization resource allocation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World Bank. (2024). World Development Indicators. https://databank.worldbank.org</w:t>
      </w:r>
    </w:p>
    <w:p>
      <w:pPr>
        <w:pStyle w:val="Compact"/>
        <w:numPr>
          <w:ilvl w:val="0"/>
          <w:numId w:val="1005"/>
        </w:numPr>
      </w:pPr>
      <w:r>
        <w:t xml:space="preserve">Lundberg, S. M., &amp; Lee, S. I. (2017). A unified approach to interpreting model predictions. NeurIPS.</w:t>
      </w:r>
    </w:p>
    <w:p>
      <w:pPr>
        <w:pStyle w:val="Compact"/>
        <w:numPr>
          <w:ilvl w:val="0"/>
          <w:numId w:val="1005"/>
        </w:numPr>
      </w:pPr>
      <w:r>
        <w:t xml:space="preserve">Steiger, J. H. (1980). Tests for comparing elements of a correlation matrix. Psychological Bulletin.</w:t>
      </w:r>
    </w:p>
    <w:p>
      <w:pPr>
        <w:pStyle w:val="Compact"/>
        <w:numPr>
          <w:ilvl w:val="0"/>
          <w:numId w:val="1005"/>
        </w:numPr>
      </w:pPr>
      <w:r>
        <w:t xml:space="preserve">Friedman, J. H. (2001). Greedy function approximation: a gradient boosting machine. Annals of Statistics.</w:t>
      </w:r>
    </w:p>
    <w:p>
      <w:pPr>
        <w:pStyle w:val="Compact"/>
        <w:numPr>
          <w:ilvl w:val="0"/>
          <w:numId w:val="1005"/>
        </w:numPr>
      </w:pPr>
      <w:r>
        <w:t xml:space="preserve">Breiman, L. (2001). Random forests. Machine Learning.</w:t>
      </w:r>
    </w:p>
    <w:p>
      <w:r>
        <w:pict>
          <v:rect style="width:0;height:1.5pt" o:hralign="center" o:hrstd="t" o:hr="t"/>
        </w:pict>
      </w:r>
    </w:p>
    <w:bookmarkEnd w:id="47"/>
    <w:bookmarkStart w:id="51" w:name="appendices"/>
    <w:p>
      <w:pPr>
        <w:pStyle w:val="Heading2"/>
      </w:pPr>
      <w:r>
        <w:t xml:space="preserve">Appendices</w:t>
      </w:r>
    </w:p>
    <w:bookmarkStart w:id="48" w:name="appendix-a-model-configuration-json"/>
    <w:p>
      <w:pPr>
        <w:pStyle w:val="Heading3"/>
      </w:pPr>
      <w:r>
        <w:t xml:space="preserve">Appendix A: Model Configuration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"emri_weights"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"random_state"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"cv_folds"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appendix-b-api-usage-example"/>
    <w:p>
      <w:pPr>
        <w:pStyle w:val="Heading3"/>
      </w:pPr>
      <w:r>
        <w:t xml:space="preserve">Appendix B: API Usage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emri_predictor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EMRIPredictor</w:t>
      </w:r>
      <w:r>
        <w:br/>
      </w:r>
      <w:r>
        <w:br/>
      </w:r>
      <w:r>
        <w:rPr>
          <w:rStyle w:val="NormalTok"/>
        </w:rPr>
        <w:t xml:space="preserve">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EMRIPredictor.load(</w:t>
      </w:r>
      <w:r>
        <w:rPr>
          <w:rStyle w:val="StringTok"/>
        </w:rPr>
        <w:t xml:space="preserve">'emri_production_pipeline_v5.pkl'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predictor.predict_single({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'HCI'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'SRI'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'PSI'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'SSI'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70.0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f"EMRI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'emri_score'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 Competitiveness Probability: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'high_competitiveness_probability'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9"/>
    <w:bookmarkStart w:id="50" w:name="X450049fcde7331aea8c5b73db0070b79f4a0ce4"/>
    <w:p>
      <w:pPr>
        <w:pStyle w:val="Heading3"/>
      </w:pPr>
      <w:r>
        <w:t xml:space="preserve">Appendix C: Statistical Test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Effect Size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 Spearman</w:t>
            </w:r>
          </w:p>
        </w:tc>
        <w:tc>
          <w:tcPr/>
          <w:p>
            <w:pPr>
              <w:pStyle w:val="Compact"/>
            </w:pPr>
            <w:r>
              <w:t xml:space="preserve">ρ = 0.949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Very Large</w:t>
            </w:r>
          </w:p>
        </w:tc>
        <w:tc>
          <w:tcPr/>
          <w:p>
            <w:pPr>
              <w:pStyle w:val="Compact"/>
            </w:pPr>
            <w:r>
              <w:t xml:space="preserve">Reject H₀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 Mann-Whitney</w:t>
            </w:r>
          </w:p>
        </w:tc>
        <w:tc>
          <w:tcPr/>
          <w:p>
            <w:pPr>
              <w:pStyle w:val="Compact"/>
            </w:pPr>
            <w:r>
              <w:t xml:space="preserve">U = 174,630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r = -0.814</w:t>
            </w:r>
          </w:p>
        </w:tc>
        <w:tc>
          <w:tcPr/>
          <w:p>
            <w:pPr>
              <w:pStyle w:val="Compact"/>
            </w:pPr>
            <w:r>
              <w:t xml:space="preserve">Reject H₀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 Steiger’s Z</w:t>
            </w:r>
          </w:p>
        </w:tc>
        <w:tc>
          <w:tcPr/>
          <w:p>
            <w:pPr>
              <w:pStyle w:val="Compact"/>
            </w:pPr>
            <w:r>
              <w:t xml:space="preserve">Z = ∞</w:t>
            </w:r>
          </w:p>
        </w:tc>
        <w:tc>
          <w:tcPr/>
          <w:p>
            <w:pPr>
              <w:pStyle w:val="Compact"/>
            </w:pPr>
            <w:r>
              <w:t xml:space="preserve">&lt; 0.0001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Reject H₀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 AUC Test</w:t>
            </w:r>
          </w:p>
        </w:tc>
        <w:tc>
          <w:tcPr/>
          <w:p>
            <w:pPr>
              <w:pStyle w:val="Compact"/>
            </w:pPr>
            <w:r>
              <w:t xml:space="preserve">AUC = 1.000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Reject H₀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 Version: 5.0.0</w:t>
      </w:r>
      <w:r>
        <w:t xml:space="preserve"> </w:t>
      </w:r>
      <w:r>
        <w:t xml:space="preserve">- Classification: Production</w:t>
      </w:r>
      <w:r>
        <w:t xml:space="preserve"> </w:t>
      </w:r>
      <w:r>
        <w:t xml:space="preserve">- Review Status: Final</w:t>
      </w:r>
      <w:r>
        <w:t xml:space="preserve"> </w:t>
      </w:r>
      <w:r>
        <w:t xml:space="preserve">- Distribution: Unrestricted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Shankha Roy</w:t>
      </w:r>
      <w:r>
        <w:t xml:space="preserve"> </w:t>
      </w:r>
      <w:r>
        <w:t xml:space="preserve">EMRI Production Framework</w:t>
      </w:r>
      <w:r>
        <w:br/>
      </w:r>
      <w:r>
        <w:t xml:space="preserve">GitHub: https://github.com/shankharoy/emri-capstone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2026-05-10T13:05:47Z</dcterms:created>
  <dcterms:modified xsi:type="dcterms:W3CDTF">2026-05-10T13:05:47Z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