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Tolerance and Spectral Regularity in Reference-Matched Reflectance Design</w:t>
      </w:r>
    </w:p>
    <w:p>
      <w:pPr>
        <w:spacing w:after="160"/>
      </w:pPr>
      <w:r>
        <w:rPr>
          <w:rFonts w:ascii="Arial" w:hAnsi="Arial"/>
          <w:b/>
          <w:smallCaps/>
          <w:sz w:val="24"/>
        </w:rPr>
        <w:t>Shankhya Debnath</w:t>
      </w:r>
      <w:r>
        <w:rPr>
          <w:vertAlign w:val="superscript"/>
        </w:rPr>
        <w:t>*</w:t>
      </w:r>
    </w:p>
    <w:p>
      <w:r>
        <w:t>Department of Printing Technology, Regional Institute of Printing Technology, Kolkata, India</w:t>
      </w:r>
    </w:p>
    <w:p>
      <w:pPr>
        <w:spacing w:after="440"/>
      </w:pPr>
      <w:r>
        <w:t>*Corresponding author: shankhya@riptkolkata.org</w:t>
      </w:r>
    </w:p>
    <w:p>
      <w:pPr>
        <w:spacing w:after="100"/>
      </w:pPr>
      <w:r>
        <w:rPr>
          <w:b/>
        </w:rPr>
        <w:t xml:space="preserve">Journal: </w:t>
      </w:r>
      <w:r>
        <w:t>Journal of the Optical Society of America A</w:t>
      </w:r>
    </w:p>
    <w:p>
      <w:r>
        <w:rPr>
          <w:b/>
        </w:rPr>
        <w:t xml:space="preserve">Article type: </w:t>
      </w:r>
      <w:r>
        <w:t>Research Article</w:t>
      </w:r>
    </w:p>
    <w:p>
      <w:pPr>
        <w:pStyle w:val="Heading1"/>
      </w:pPr>
      <w:r>
        <w:t>Abstract</w:t>
      </w:r>
    </w:p>
    <w:p>
      <w:r>
        <w:t>Response tolerance changes the capacity cost of spectral regularity. We study passive reflectances that match a flat 50% reference under D65 and approximate a prescribed transformation under A and FL11. At global effect-relative XYZ tolerance 0.10, the capacity gain beyond unchanged-spectrum target inflation is over 50% larger with derivative bounds than with passivity alone. Exact certificates prove strict gain ordering over a tolerance interval for both named-illuminant and all-mixture constraints. Every feasible derivative-bounded design at or above a certified attainable amplitude exceeds that class's exact X-response limits for the same transformation under A and FL11, with a necessary Y deficit under A.</w:t>
      </w:r>
    </w:p>
    <w:p>
      <w:pPr>
        <w:spacing w:before="160"/>
      </w:pPr>
      <w:r>
        <w:rPr>
          <w:b/>
        </w:rPr>
        <w:t xml:space="preserve">Keywords: </w:t>
      </w:r>
      <w:r>
        <w:t>Colour matching; spectral reflectance; metamerism; spectral regularity; multi-illuminant design</w:t>
      </w:r>
    </w:p>
    <w:sectPr w:rsidR="00FC693F" w:rsidRPr="0006063C" w:rsidSect="00034616">
      <w:pgSz w:w="12240" w:h="15840"/>
      <w:pgMar w:top="1872" w:right="2340" w:bottom="1872" w:left="2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G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80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cstheme="majorBidi" w:ascii="Arial" w:hAnsi="Arial" w:eastAsia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Tolerance and Spectral Regularity in Reference-Matched Reflectance Design</dc:title>
  <dc:subject>JOSA A submission</dc:subject>
  <dc:creator>Shankhya Debnath</dc:creator>
  <cp:keywords>colorimetry; spectral reflectance; metamerism; spectral regularity</cp:keywords>
  <dc:description/>
  <cp:lastModifiedBy/>
  <cp:revision>1</cp:revision>
  <dcterms:created xsi:type="dcterms:W3CDTF">2026-10-17T00:00:00Z</dcterms:created>
  <dcterms:modified xsi:type="dcterms:W3CDTF">2026-10-17T00:00:00Z</dcterms:modified>
  <cp:category/>
</cp:coreProperties>
</file>