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3CDA5" w14:textId="77777777" w:rsidR="0074021B" w:rsidRDefault="00000000">
      <w:pPr>
        <w:spacing w:before="157" w:after="157" w:line="270" w:lineRule="auto"/>
      </w:pPr>
      <w:bookmarkStart w:id="0" w:name="public_distribution_scheme_analys_705715"/>
      <w:r>
        <w:rPr>
          <w:rFonts w:eastAsia="Georgia" w:hAnsi="Georgia" w:cs="Georgia"/>
          <w:b/>
          <w:color w:val="000000"/>
          <w:sz w:val="39"/>
        </w:rPr>
        <w:t>Public Distribution Scheme Analysis Dashboard in Power BI</w:t>
      </w:r>
      <w:bookmarkEnd w:id="0"/>
    </w:p>
    <w:p w14:paraId="5305086F" w14:textId="77777777" w:rsidR="0074021B" w:rsidRDefault="00000000">
      <w:pPr>
        <w:spacing w:before="315" w:after="105" w:line="360" w:lineRule="auto"/>
        <w:ind w:left="-30"/>
      </w:pPr>
      <w:bookmarkStart w:id="1" w:name="executive_summary"/>
      <w:r>
        <w:rPr>
          <w:rFonts w:eastAsia="Georgia" w:hAnsi="Georgia" w:cs="Georgia"/>
          <w:b/>
          <w:color w:val="000000"/>
          <w:sz w:val="24"/>
        </w:rPr>
        <w:t>Executive Summary</w:t>
      </w:r>
      <w:bookmarkEnd w:id="1"/>
    </w:p>
    <w:p w14:paraId="03216DD5" w14:textId="77777777" w:rsidR="0074021B" w:rsidRDefault="00000000">
      <w:pPr>
        <w:spacing w:after="210" w:line="360" w:lineRule="auto"/>
      </w:pPr>
      <w:r>
        <w:rPr>
          <w:rFonts w:eastAsia="Georgia" w:hAnsi="Georgia" w:cs="Georgia"/>
          <w:color w:val="000000"/>
        </w:rPr>
        <w:t xml:space="preserve">This project presents an interactive Power BI dashboard developed to analyze public distribution scheme performance and commodity movement patterns across Indian states. The analysis focuses on </w:t>
      </w:r>
      <w:proofErr w:type="spellStart"/>
      <w:r>
        <w:rPr>
          <w:rFonts w:eastAsia="Georgia" w:hAnsi="Georgia" w:cs="Georgia"/>
          <w:color w:val="000000"/>
        </w:rPr>
        <w:t>Antyodaya</w:t>
      </w:r>
      <w:proofErr w:type="spellEnd"/>
      <w:r>
        <w:rPr>
          <w:rFonts w:eastAsia="Georgia" w:hAnsi="Georgia" w:cs="Georgia"/>
          <w:color w:val="000000"/>
        </w:rPr>
        <w:t xml:space="preserve"> Anna Yojana (AAY) transactions, Priority Household (PHH) transactions, inter-district quantity movement, intra-district quantity movement, and year-wise changes in scheme share. The dashboard was designed to convert raw operational data into a clear decision-support tool that helps stakeholders monitor scheme activity, compare state performance, and identify distribution trends over time.</w:t>
      </w:r>
    </w:p>
    <w:p w14:paraId="347F403F" w14:textId="77777777" w:rsidR="0074021B" w:rsidRDefault="00000000">
      <w:pPr>
        <w:spacing w:after="210" w:line="360" w:lineRule="auto"/>
      </w:pPr>
      <w:r>
        <w:rPr>
          <w:rFonts w:eastAsia="Georgia" w:hAnsi="Georgia" w:cs="Georgia"/>
          <w:color w:val="000000"/>
        </w:rPr>
        <w:t>The final solution was structured into three report pages: Overview, State Performance, and Scheme and Movement Analysis. Together, these pages provide both a macro and micro view of the dataset. The project demonstrates practical skills in data cleaning, transformation, KPI creation, DAX measures, interactive filtering, and business-focused dashboard storytelling.</w:t>
      </w:r>
    </w:p>
    <w:p w14:paraId="10D08FC0" w14:textId="77777777" w:rsidR="0074021B" w:rsidRDefault="00000000">
      <w:pPr>
        <w:spacing w:before="315" w:after="105" w:line="360" w:lineRule="auto"/>
        <w:ind w:left="-30"/>
      </w:pPr>
      <w:bookmarkStart w:id="2" w:name="business_problem"/>
      <w:r>
        <w:rPr>
          <w:rFonts w:eastAsia="Georgia" w:hAnsi="Georgia" w:cs="Georgia"/>
          <w:b/>
          <w:color w:val="000000"/>
          <w:sz w:val="24"/>
        </w:rPr>
        <w:t>Business Problem</w:t>
      </w:r>
      <w:bookmarkEnd w:id="2"/>
    </w:p>
    <w:p w14:paraId="2C278195" w14:textId="77777777" w:rsidR="0074021B" w:rsidRDefault="00000000">
      <w:pPr>
        <w:spacing w:after="210" w:line="360" w:lineRule="auto"/>
      </w:pPr>
      <w:r>
        <w:rPr>
          <w:rFonts w:eastAsia="Georgia" w:hAnsi="Georgia" w:cs="Georgia"/>
          <w:color w:val="000000"/>
        </w:rPr>
        <w:t>Public distribution systems generate large amounts of operational data related to transactions, allocation, and movement of food commodities. However, raw tabular data alone does not help decision-makers quickly understand how schemes are performing, how state-level distribution differs, or whether the proportion of transactions under each scheme is changing over time.</w:t>
      </w:r>
    </w:p>
    <w:p w14:paraId="02A2F9E3" w14:textId="77777777" w:rsidR="0074021B" w:rsidRDefault="00000000">
      <w:pPr>
        <w:spacing w:after="210" w:line="360" w:lineRule="auto"/>
      </w:pPr>
      <w:r>
        <w:rPr>
          <w:rFonts w:eastAsia="Georgia" w:hAnsi="Georgia" w:cs="Georgia"/>
          <w:color w:val="000000"/>
        </w:rPr>
        <w:t>The core business problem addressed in this project is how to transform complex state-level distribution data into an interactive analytical dashboard that can answer key business questions such as:</w:t>
      </w:r>
    </w:p>
    <w:p w14:paraId="41593B41" w14:textId="77777777" w:rsidR="0074021B" w:rsidRDefault="00000000">
      <w:pPr>
        <w:numPr>
          <w:ilvl w:val="0"/>
          <w:numId w:val="1"/>
        </w:numPr>
        <w:spacing w:before="105" w:after="105" w:line="360" w:lineRule="auto"/>
      </w:pPr>
      <w:r>
        <w:rPr>
          <w:rFonts w:eastAsia="Georgia" w:hAnsi="Georgia" w:cs="Georgia"/>
          <w:color w:val="000000"/>
        </w:rPr>
        <w:t>Which states show the highest distribution volume or scheme activity?</w:t>
      </w:r>
    </w:p>
    <w:p w14:paraId="1742F287" w14:textId="77777777" w:rsidR="0074021B" w:rsidRDefault="00000000">
      <w:pPr>
        <w:numPr>
          <w:ilvl w:val="0"/>
          <w:numId w:val="1"/>
        </w:numPr>
        <w:spacing w:before="105" w:after="105" w:line="360" w:lineRule="auto"/>
      </w:pPr>
      <w:r>
        <w:rPr>
          <w:rFonts w:eastAsia="Georgia" w:hAnsi="Georgia" w:cs="Georgia"/>
          <w:color w:val="000000"/>
        </w:rPr>
        <w:t>How do AAY and PHH transactions compare over time?</w:t>
      </w:r>
    </w:p>
    <w:p w14:paraId="7E5EDB36" w14:textId="77777777" w:rsidR="0074021B" w:rsidRDefault="00000000">
      <w:pPr>
        <w:numPr>
          <w:ilvl w:val="0"/>
          <w:numId w:val="1"/>
        </w:numPr>
        <w:spacing w:before="105" w:after="105" w:line="360" w:lineRule="auto"/>
      </w:pPr>
      <w:r>
        <w:rPr>
          <w:rFonts w:eastAsia="Georgia" w:hAnsi="Georgia" w:cs="Georgia"/>
          <w:color w:val="000000"/>
        </w:rPr>
        <w:t>Which states have relatively higher inter-district and intra-district movement?</w:t>
      </w:r>
    </w:p>
    <w:p w14:paraId="180CB356" w14:textId="77777777" w:rsidR="0074021B" w:rsidRDefault="00000000">
      <w:pPr>
        <w:numPr>
          <w:ilvl w:val="0"/>
          <w:numId w:val="1"/>
        </w:numPr>
        <w:spacing w:before="105" w:after="105" w:line="360" w:lineRule="auto"/>
      </w:pPr>
      <w:r>
        <w:rPr>
          <w:rFonts w:eastAsia="Georgia" w:hAnsi="Georgia" w:cs="Georgia"/>
          <w:color w:val="000000"/>
        </w:rPr>
        <w:t>How has the share of AAY changed across the years?</w:t>
      </w:r>
    </w:p>
    <w:p w14:paraId="3A48A284" w14:textId="77777777" w:rsidR="0074021B" w:rsidRDefault="00000000">
      <w:pPr>
        <w:numPr>
          <w:ilvl w:val="0"/>
          <w:numId w:val="1"/>
        </w:numPr>
        <w:spacing w:before="105" w:after="105" w:line="360" w:lineRule="auto"/>
      </w:pPr>
      <w:r>
        <w:rPr>
          <w:rFonts w:eastAsia="Georgia" w:hAnsi="Georgia" w:cs="Georgia"/>
          <w:color w:val="000000"/>
        </w:rPr>
        <w:t>What operational patterns can be identified through interactive filtering and comparison?</w:t>
      </w:r>
    </w:p>
    <w:p w14:paraId="0F8F653E" w14:textId="77777777" w:rsidR="0074021B" w:rsidRDefault="00000000">
      <w:pPr>
        <w:spacing w:after="210" w:line="360" w:lineRule="auto"/>
      </w:pPr>
      <w:r>
        <w:rPr>
          <w:rFonts w:eastAsia="Georgia" w:hAnsi="Georgia" w:cs="Georgia"/>
          <w:color w:val="000000"/>
        </w:rPr>
        <w:t>By answering these questions visually, the dashboard supports faster monitoring, easier comparison, and more informed operational review.</w:t>
      </w:r>
    </w:p>
    <w:p w14:paraId="0B2BB359" w14:textId="77777777" w:rsidR="0074021B" w:rsidRDefault="00000000">
      <w:pPr>
        <w:spacing w:before="315" w:after="105" w:line="360" w:lineRule="auto"/>
        <w:ind w:left="-30"/>
      </w:pPr>
      <w:bookmarkStart w:id="3" w:name="project_objectives"/>
      <w:r>
        <w:rPr>
          <w:rFonts w:eastAsia="Georgia" w:hAnsi="Georgia" w:cs="Georgia"/>
          <w:b/>
          <w:color w:val="000000"/>
          <w:sz w:val="24"/>
        </w:rPr>
        <w:lastRenderedPageBreak/>
        <w:t>Project Objectives</w:t>
      </w:r>
      <w:bookmarkEnd w:id="3"/>
    </w:p>
    <w:p w14:paraId="268C1D2C" w14:textId="77777777" w:rsidR="0074021B" w:rsidRDefault="00000000">
      <w:pPr>
        <w:spacing w:after="210" w:line="360" w:lineRule="auto"/>
      </w:pPr>
      <w:r>
        <w:rPr>
          <w:rFonts w:eastAsia="Georgia" w:hAnsi="Georgia" w:cs="Georgia"/>
          <w:color w:val="000000"/>
        </w:rPr>
        <w:t>The main objectives of this project were:</w:t>
      </w:r>
    </w:p>
    <w:p w14:paraId="6847F188" w14:textId="77777777" w:rsidR="0074021B" w:rsidRDefault="00000000">
      <w:pPr>
        <w:numPr>
          <w:ilvl w:val="0"/>
          <w:numId w:val="2"/>
        </w:numPr>
        <w:spacing w:before="105" w:after="105" w:line="360" w:lineRule="auto"/>
      </w:pPr>
      <w:r>
        <w:rPr>
          <w:rFonts w:eastAsia="Georgia" w:hAnsi="Georgia" w:cs="Georgia"/>
          <w:color w:val="000000"/>
        </w:rPr>
        <w:t>To build an interactive Power BI dashboard for public distribution analysis.</w:t>
      </w:r>
    </w:p>
    <w:p w14:paraId="2B09D25D" w14:textId="77777777" w:rsidR="0074021B" w:rsidRDefault="00000000">
      <w:pPr>
        <w:numPr>
          <w:ilvl w:val="0"/>
          <w:numId w:val="2"/>
        </w:numPr>
        <w:spacing w:before="105" w:after="105" w:line="360" w:lineRule="auto"/>
      </w:pPr>
      <w:r>
        <w:rPr>
          <w:rFonts w:eastAsia="Georgia" w:hAnsi="Georgia" w:cs="Georgia"/>
          <w:color w:val="000000"/>
        </w:rPr>
        <w:t>To compare AAY and PHH transaction patterns across years.</w:t>
      </w:r>
    </w:p>
    <w:p w14:paraId="32D7F91A" w14:textId="77777777" w:rsidR="0074021B" w:rsidRDefault="00000000">
      <w:pPr>
        <w:numPr>
          <w:ilvl w:val="0"/>
          <w:numId w:val="2"/>
        </w:numPr>
        <w:spacing w:before="105" w:after="105" w:line="360" w:lineRule="auto"/>
      </w:pPr>
      <w:r>
        <w:rPr>
          <w:rFonts w:eastAsia="Georgia" w:hAnsi="Georgia" w:cs="Georgia"/>
          <w:color w:val="000000"/>
        </w:rPr>
        <w:t>To analyze movement quantity at the state level using inter-district and intra-district metrics.</w:t>
      </w:r>
    </w:p>
    <w:p w14:paraId="227C2095" w14:textId="77777777" w:rsidR="0074021B" w:rsidRDefault="00000000">
      <w:pPr>
        <w:numPr>
          <w:ilvl w:val="0"/>
          <w:numId w:val="2"/>
        </w:numPr>
        <w:spacing w:before="105" w:after="105" w:line="360" w:lineRule="auto"/>
      </w:pPr>
      <w:r>
        <w:rPr>
          <w:rFonts w:eastAsia="Georgia" w:hAnsi="Georgia" w:cs="Georgia"/>
          <w:color w:val="000000"/>
        </w:rPr>
        <w:t>To create KPI-based summary views for faster understanding of scheme performance.</w:t>
      </w:r>
    </w:p>
    <w:p w14:paraId="0EFAA835" w14:textId="77777777" w:rsidR="0074021B" w:rsidRDefault="00000000">
      <w:pPr>
        <w:numPr>
          <w:ilvl w:val="0"/>
          <w:numId w:val="2"/>
        </w:numPr>
        <w:spacing w:before="105" w:after="105" w:line="360" w:lineRule="auto"/>
      </w:pPr>
      <w:r>
        <w:rPr>
          <w:rFonts w:eastAsia="Georgia" w:hAnsi="Georgia" w:cs="Georgia"/>
          <w:color w:val="000000"/>
        </w:rPr>
        <w:t>To improve analytical storytelling by organizing the report into multiple business-focused dashboard pages.</w:t>
      </w:r>
    </w:p>
    <w:p w14:paraId="4113B5F2" w14:textId="77777777" w:rsidR="0074021B" w:rsidRDefault="00000000">
      <w:pPr>
        <w:numPr>
          <w:ilvl w:val="0"/>
          <w:numId w:val="2"/>
        </w:numPr>
        <w:spacing w:before="105" w:after="105" w:line="360" w:lineRule="auto"/>
      </w:pPr>
      <w:r>
        <w:rPr>
          <w:rFonts w:eastAsia="Georgia" w:hAnsi="Georgia" w:cs="Georgia"/>
          <w:color w:val="000000"/>
        </w:rPr>
        <w:t>To create a portfolio-ready project suitable for resume and GitHub presentation.</w:t>
      </w:r>
    </w:p>
    <w:p w14:paraId="2C37E3B3" w14:textId="77777777" w:rsidR="0074021B" w:rsidRDefault="00000000">
      <w:pPr>
        <w:spacing w:before="315" w:after="105" w:line="360" w:lineRule="auto"/>
        <w:ind w:left="-30"/>
      </w:pPr>
      <w:bookmarkStart w:id="4" w:name="dataset_overview"/>
      <w:r>
        <w:rPr>
          <w:rFonts w:eastAsia="Georgia" w:hAnsi="Georgia" w:cs="Georgia"/>
          <w:b/>
          <w:color w:val="000000"/>
          <w:sz w:val="24"/>
        </w:rPr>
        <w:t>Dataset Overview</w:t>
      </w:r>
      <w:bookmarkEnd w:id="4"/>
    </w:p>
    <w:p w14:paraId="77271B3F" w14:textId="77777777" w:rsidR="0074021B" w:rsidRDefault="00000000">
      <w:pPr>
        <w:spacing w:after="210" w:line="360" w:lineRule="auto"/>
      </w:pPr>
      <w:r>
        <w:rPr>
          <w:rFonts w:eastAsia="Georgia" w:hAnsi="Georgia" w:cs="Georgia"/>
          <w:color w:val="000000"/>
        </w:rPr>
        <w:t>The dataset contains state-level and year-level public distribution information from India. Each record includes important operational indicators that help evaluate scheme transactions and movement patterns.</w:t>
      </w:r>
    </w:p>
    <w:p w14:paraId="324D3C32" w14:textId="77777777" w:rsidR="0074021B" w:rsidRDefault="00000000">
      <w:pPr>
        <w:spacing w:before="315" w:after="105" w:line="360" w:lineRule="auto"/>
        <w:ind w:left="-30"/>
      </w:pPr>
      <w:bookmarkStart w:id="5" w:name="main_fields_used_in_the_analysis"/>
      <w:r>
        <w:rPr>
          <w:rFonts w:eastAsia="Georgia" w:hAnsi="Georgia" w:cs="Georgia"/>
          <w:b/>
          <w:color w:val="000000"/>
          <w:sz w:val="24"/>
        </w:rPr>
        <w:t>Main fields used in the analysis</w:t>
      </w:r>
      <w:bookmarkEnd w:id="5"/>
    </w:p>
    <w:p w14:paraId="580B0AD3" w14:textId="77777777" w:rsidR="0074021B" w:rsidRDefault="00000000">
      <w:pPr>
        <w:numPr>
          <w:ilvl w:val="0"/>
          <w:numId w:val="3"/>
        </w:numPr>
        <w:spacing w:before="105" w:after="105" w:line="360" w:lineRule="auto"/>
      </w:pPr>
      <w:r>
        <w:rPr>
          <w:rFonts w:eastAsia="Georgia" w:hAnsi="Georgia" w:cs="Georgia"/>
          <w:color w:val="000000"/>
        </w:rPr>
        <w:t>State name and state code</w:t>
      </w:r>
    </w:p>
    <w:p w14:paraId="3AAB377D" w14:textId="77777777" w:rsidR="0074021B" w:rsidRDefault="00000000">
      <w:pPr>
        <w:numPr>
          <w:ilvl w:val="0"/>
          <w:numId w:val="3"/>
        </w:numPr>
        <w:spacing w:before="105" w:after="105" w:line="360" w:lineRule="auto"/>
      </w:pPr>
      <w:r>
        <w:rPr>
          <w:rFonts w:eastAsia="Georgia" w:hAnsi="Georgia" w:cs="Georgia"/>
          <w:color w:val="000000"/>
        </w:rPr>
        <w:t>Year and year code</w:t>
      </w:r>
    </w:p>
    <w:p w14:paraId="557C9365" w14:textId="77777777" w:rsidR="0074021B" w:rsidRDefault="00000000">
      <w:pPr>
        <w:numPr>
          <w:ilvl w:val="0"/>
          <w:numId w:val="3"/>
        </w:numPr>
        <w:spacing w:before="105" w:after="105" w:line="360" w:lineRule="auto"/>
      </w:pPr>
      <w:r>
        <w:rPr>
          <w:rFonts w:eastAsia="Georgia" w:hAnsi="Georgia" w:cs="Georgia"/>
          <w:color w:val="000000"/>
        </w:rPr>
        <w:t>AAY transactions</w:t>
      </w:r>
    </w:p>
    <w:p w14:paraId="272F737E" w14:textId="77777777" w:rsidR="0074021B" w:rsidRDefault="00000000">
      <w:pPr>
        <w:numPr>
          <w:ilvl w:val="0"/>
          <w:numId w:val="3"/>
        </w:numPr>
        <w:spacing w:before="105" w:after="105" w:line="360" w:lineRule="auto"/>
      </w:pPr>
      <w:r>
        <w:rPr>
          <w:rFonts w:eastAsia="Georgia" w:hAnsi="Georgia" w:cs="Georgia"/>
          <w:color w:val="000000"/>
        </w:rPr>
        <w:t>PHH transactions</w:t>
      </w:r>
    </w:p>
    <w:p w14:paraId="626E6E88" w14:textId="77777777" w:rsidR="0074021B" w:rsidRDefault="00000000">
      <w:pPr>
        <w:numPr>
          <w:ilvl w:val="0"/>
          <w:numId w:val="3"/>
        </w:numPr>
        <w:spacing w:before="105" w:after="105" w:line="360" w:lineRule="auto"/>
      </w:pPr>
      <w:r>
        <w:rPr>
          <w:rFonts w:eastAsia="Georgia" w:hAnsi="Georgia" w:cs="Georgia"/>
          <w:color w:val="000000"/>
        </w:rPr>
        <w:t>Inter-district quantity movement (MT)</w:t>
      </w:r>
    </w:p>
    <w:p w14:paraId="4193355E" w14:textId="77777777" w:rsidR="0074021B" w:rsidRDefault="00000000">
      <w:pPr>
        <w:numPr>
          <w:ilvl w:val="0"/>
          <w:numId w:val="3"/>
        </w:numPr>
        <w:spacing w:before="105" w:after="105" w:line="360" w:lineRule="auto"/>
      </w:pPr>
      <w:r>
        <w:rPr>
          <w:rFonts w:eastAsia="Georgia" w:hAnsi="Georgia" w:cs="Georgia"/>
          <w:color w:val="000000"/>
        </w:rPr>
        <w:t>Intra-district quantity movement (MT)</w:t>
      </w:r>
    </w:p>
    <w:p w14:paraId="47732872" w14:textId="77777777" w:rsidR="0074021B" w:rsidRDefault="00000000">
      <w:pPr>
        <w:numPr>
          <w:ilvl w:val="0"/>
          <w:numId w:val="3"/>
        </w:numPr>
        <w:spacing w:before="105" w:after="105" w:line="360" w:lineRule="auto"/>
      </w:pPr>
      <w:r>
        <w:rPr>
          <w:rFonts w:eastAsia="Georgia" w:hAnsi="Georgia" w:cs="Georgia"/>
          <w:color w:val="000000"/>
        </w:rPr>
        <w:t>Total quantity</w:t>
      </w:r>
    </w:p>
    <w:p w14:paraId="27E37A54" w14:textId="77777777" w:rsidR="0074021B" w:rsidRDefault="00000000">
      <w:pPr>
        <w:numPr>
          <w:ilvl w:val="0"/>
          <w:numId w:val="3"/>
        </w:numPr>
        <w:spacing w:before="105" w:after="105" w:line="360" w:lineRule="auto"/>
      </w:pPr>
      <w:r>
        <w:rPr>
          <w:rFonts w:eastAsia="Georgia" w:hAnsi="Georgia" w:cs="Georgia"/>
          <w:color w:val="000000"/>
        </w:rPr>
        <w:t>Total ration cards and related scheme-level indicators where available</w:t>
      </w:r>
    </w:p>
    <w:p w14:paraId="5CD8A4FB" w14:textId="77777777" w:rsidR="0074021B" w:rsidRDefault="00000000">
      <w:pPr>
        <w:spacing w:after="210" w:line="360" w:lineRule="auto"/>
      </w:pPr>
      <w:r>
        <w:rPr>
          <w:rFonts w:eastAsia="Georgia" w:hAnsi="Georgia" w:cs="Georgia"/>
          <w:color w:val="000000"/>
        </w:rPr>
        <w:t>These fields make it possible to examine both transaction behavior and physical movement of distributed quantity. They also support comparative analysis across time and geography.</w:t>
      </w:r>
    </w:p>
    <w:p w14:paraId="7E3E216C" w14:textId="77777777" w:rsidR="0074021B" w:rsidRDefault="00000000">
      <w:pPr>
        <w:spacing w:before="315" w:after="105" w:line="360" w:lineRule="auto"/>
        <w:ind w:left="-30"/>
      </w:pPr>
      <w:bookmarkStart w:id="6" w:name="tools_and_techniques_used"/>
      <w:r>
        <w:rPr>
          <w:rFonts w:eastAsia="Georgia" w:hAnsi="Georgia" w:cs="Georgia"/>
          <w:b/>
          <w:color w:val="000000"/>
          <w:sz w:val="24"/>
        </w:rPr>
        <w:t>Tools and Techniques Used</w:t>
      </w:r>
      <w:bookmarkEnd w:id="6"/>
    </w:p>
    <w:p w14:paraId="3095302F" w14:textId="77777777" w:rsidR="0074021B" w:rsidRDefault="00000000">
      <w:pPr>
        <w:spacing w:after="210" w:line="360" w:lineRule="auto"/>
      </w:pPr>
      <w:r>
        <w:rPr>
          <w:rFonts w:eastAsia="Georgia" w:hAnsi="Georgia" w:cs="Georgia"/>
          <w:color w:val="000000"/>
        </w:rPr>
        <w:t>This project was completed using Power BI as the main visualization and analysis tool.</w:t>
      </w:r>
    </w:p>
    <w:p w14:paraId="66664FF7" w14:textId="77777777" w:rsidR="0074021B" w:rsidRDefault="00000000">
      <w:pPr>
        <w:spacing w:before="315" w:after="105" w:line="360" w:lineRule="auto"/>
        <w:ind w:left="-30"/>
      </w:pPr>
      <w:bookmarkStart w:id="7" w:name="tools_used"/>
      <w:r>
        <w:rPr>
          <w:rFonts w:eastAsia="Georgia" w:hAnsi="Georgia" w:cs="Georgia"/>
          <w:b/>
          <w:color w:val="000000"/>
          <w:sz w:val="24"/>
        </w:rPr>
        <w:lastRenderedPageBreak/>
        <w:t>Tools used</w:t>
      </w:r>
      <w:bookmarkEnd w:id="7"/>
    </w:p>
    <w:p w14:paraId="7E16AF36" w14:textId="77777777" w:rsidR="0074021B" w:rsidRDefault="00000000">
      <w:pPr>
        <w:numPr>
          <w:ilvl w:val="0"/>
          <w:numId w:val="4"/>
        </w:numPr>
        <w:spacing w:before="105" w:after="105" w:line="360" w:lineRule="auto"/>
      </w:pPr>
      <w:r>
        <w:rPr>
          <w:rFonts w:eastAsia="Georgia" w:hAnsi="Georgia" w:cs="Georgia"/>
          <w:b/>
          <w:color w:val="000000"/>
        </w:rPr>
        <w:t>Power BI Desktop</w:t>
      </w:r>
      <w:r>
        <w:rPr>
          <w:rFonts w:eastAsia="Georgia" w:hAnsi="Georgia" w:cs="Georgia"/>
          <w:color w:val="000000"/>
        </w:rPr>
        <w:t xml:space="preserve"> for data modeling and dashboard creation</w:t>
      </w:r>
    </w:p>
    <w:p w14:paraId="474CADD1" w14:textId="77777777" w:rsidR="0074021B" w:rsidRDefault="00000000">
      <w:pPr>
        <w:numPr>
          <w:ilvl w:val="0"/>
          <w:numId w:val="4"/>
        </w:numPr>
        <w:spacing w:before="105" w:after="105" w:line="360" w:lineRule="auto"/>
      </w:pPr>
      <w:r>
        <w:rPr>
          <w:rFonts w:eastAsia="Georgia" w:hAnsi="Georgia" w:cs="Georgia"/>
          <w:b/>
          <w:color w:val="000000"/>
        </w:rPr>
        <w:t>Power Query</w:t>
      </w:r>
      <w:r>
        <w:rPr>
          <w:rFonts w:eastAsia="Georgia" w:hAnsi="Georgia" w:cs="Georgia"/>
          <w:color w:val="000000"/>
        </w:rPr>
        <w:t xml:space="preserve"> for data cleaning and transformation</w:t>
      </w:r>
    </w:p>
    <w:p w14:paraId="63B506DC" w14:textId="77777777" w:rsidR="0074021B" w:rsidRDefault="00000000">
      <w:pPr>
        <w:numPr>
          <w:ilvl w:val="0"/>
          <w:numId w:val="4"/>
        </w:numPr>
        <w:spacing w:before="105" w:after="105" w:line="360" w:lineRule="auto"/>
      </w:pPr>
      <w:r>
        <w:rPr>
          <w:rFonts w:eastAsia="Georgia" w:hAnsi="Georgia" w:cs="Georgia"/>
          <w:b/>
          <w:color w:val="000000"/>
        </w:rPr>
        <w:t>DAX</w:t>
      </w:r>
      <w:r>
        <w:rPr>
          <w:rFonts w:eastAsia="Georgia" w:hAnsi="Georgia" w:cs="Georgia"/>
          <w:color w:val="000000"/>
        </w:rPr>
        <w:t xml:space="preserve"> for KPI and calculated measure creation</w:t>
      </w:r>
    </w:p>
    <w:p w14:paraId="32D52141" w14:textId="77777777" w:rsidR="0074021B" w:rsidRDefault="00000000">
      <w:pPr>
        <w:numPr>
          <w:ilvl w:val="0"/>
          <w:numId w:val="4"/>
        </w:numPr>
        <w:spacing w:before="105" w:after="105" w:line="360" w:lineRule="auto"/>
      </w:pPr>
      <w:r>
        <w:rPr>
          <w:rFonts w:eastAsia="Georgia" w:hAnsi="Georgia" w:cs="Georgia"/>
          <w:b/>
          <w:color w:val="000000"/>
        </w:rPr>
        <w:t>Slicers and filters</w:t>
      </w:r>
      <w:r>
        <w:rPr>
          <w:rFonts w:eastAsia="Georgia" w:hAnsi="Georgia" w:cs="Georgia"/>
          <w:color w:val="000000"/>
        </w:rPr>
        <w:t xml:space="preserve"> for interactive state-level exploration</w:t>
      </w:r>
    </w:p>
    <w:p w14:paraId="356993B4" w14:textId="77777777" w:rsidR="0074021B" w:rsidRDefault="00000000">
      <w:pPr>
        <w:numPr>
          <w:ilvl w:val="0"/>
          <w:numId w:val="4"/>
        </w:numPr>
        <w:spacing w:before="105" w:after="105" w:line="360" w:lineRule="auto"/>
      </w:pPr>
      <w:r>
        <w:rPr>
          <w:rFonts w:eastAsia="Georgia" w:hAnsi="Georgia" w:cs="Georgia"/>
          <w:b/>
          <w:color w:val="000000"/>
        </w:rPr>
        <w:t>Charts and KPI cards</w:t>
      </w:r>
      <w:r>
        <w:rPr>
          <w:rFonts w:eastAsia="Georgia" w:hAnsi="Georgia" w:cs="Georgia"/>
          <w:color w:val="000000"/>
        </w:rPr>
        <w:t xml:space="preserve"> for trend analysis and comparison</w:t>
      </w:r>
    </w:p>
    <w:p w14:paraId="2E54391B" w14:textId="77777777" w:rsidR="0074021B" w:rsidRDefault="00000000">
      <w:pPr>
        <w:spacing w:before="315" w:after="105" w:line="360" w:lineRule="auto"/>
        <w:ind w:left="-30"/>
      </w:pPr>
      <w:bookmarkStart w:id="8" w:name="analytical_techniques_applied"/>
      <w:r>
        <w:rPr>
          <w:rFonts w:eastAsia="Georgia" w:hAnsi="Georgia" w:cs="Georgia"/>
          <w:b/>
          <w:color w:val="000000"/>
          <w:sz w:val="24"/>
        </w:rPr>
        <w:t>Analytical techniques applied</w:t>
      </w:r>
      <w:bookmarkEnd w:id="8"/>
    </w:p>
    <w:p w14:paraId="701F9D0B" w14:textId="77777777" w:rsidR="0074021B" w:rsidRDefault="00000000">
      <w:pPr>
        <w:numPr>
          <w:ilvl w:val="0"/>
          <w:numId w:val="5"/>
        </w:numPr>
        <w:spacing w:before="105" w:after="105" w:line="360" w:lineRule="auto"/>
      </w:pPr>
      <w:r>
        <w:rPr>
          <w:rFonts w:eastAsia="Georgia" w:hAnsi="Georgia" w:cs="Georgia"/>
          <w:color w:val="000000"/>
        </w:rPr>
        <w:t>Time-based comparison of AAY and PHH transactions</w:t>
      </w:r>
    </w:p>
    <w:p w14:paraId="07D89FD8" w14:textId="77777777" w:rsidR="0074021B" w:rsidRDefault="00000000">
      <w:pPr>
        <w:numPr>
          <w:ilvl w:val="0"/>
          <w:numId w:val="5"/>
        </w:numPr>
        <w:spacing w:before="105" w:after="105" w:line="360" w:lineRule="auto"/>
      </w:pPr>
      <w:r>
        <w:rPr>
          <w:rFonts w:eastAsia="Georgia" w:hAnsi="Georgia" w:cs="Georgia"/>
          <w:color w:val="000000"/>
        </w:rPr>
        <w:t>State-wise comparison of movement quantities</w:t>
      </w:r>
    </w:p>
    <w:p w14:paraId="1C78C3DD" w14:textId="77777777" w:rsidR="0074021B" w:rsidRDefault="00000000">
      <w:pPr>
        <w:numPr>
          <w:ilvl w:val="0"/>
          <w:numId w:val="5"/>
        </w:numPr>
        <w:spacing w:before="105" w:after="105" w:line="360" w:lineRule="auto"/>
      </w:pPr>
      <w:r>
        <w:rPr>
          <w:rFonts w:eastAsia="Georgia" w:hAnsi="Georgia" w:cs="Georgia"/>
          <w:color w:val="000000"/>
        </w:rPr>
        <w:t>Ratio-based review using AAY share percentage</w:t>
      </w:r>
    </w:p>
    <w:p w14:paraId="5FFEB712" w14:textId="77777777" w:rsidR="0074021B" w:rsidRDefault="00000000">
      <w:pPr>
        <w:numPr>
          <w:ilvl w:val="0"/>
          <w:numId w:val="5"/>
        </w:numPr>
        <w:spacing w:before="105" w:after="105" w:line="360" w:lineRule="auto"/>
      </w:pPr>
      <w:r>
        <w:rPr>
          <w:rFonts w:eastAsia="Georgia" w:hAnsi="Georgia" w:cs="Georgia"/>
          <w:color w:val="000000"/>
        </w:rPr>
        <w:t>Dashboard design using business-friendly visual hierarchy</w:t>
      </w:r>
    </w:p>
    <w:p w14:paraId="49C219CF" w14:textId="77777777" w:rsidR="0074021B" w:rsidRDefault="00000000">
      <w:pPr>
        <w:numPr>
          <w:ilvl w:val="0"/>
          <w:numId w:val="5"/>
        </w:numPr>
        <w:spacing w:before="105" w:after="105" w:line="360" w:lineRule="auto"/>
      </w:pPr>
      <w:r>
        <w:rPr>
          <w:rFonts w:eastAsia="Georgia" w:hAnsi="Georgia" w:cs="Georgia"/>
          <w:color w:val="000000"/>
        </w:rPr>
        <w:t>Interactive filtering to allow drill-down by state and year context</w:t>
      </w:r>
    </w:p>
    <w:p w14:paraId="36650619" w14:textId="77777777" w:rsidR="0074021B" w:rsidRDefault="00000000">
      <w:pPr>
        <w:spacing w:before="315" w:after="105" w:line="360" w:lineRule="auto"/>
        <w:ind w:left="-30"/>
      </w:pPr>
      <w:bookmarkStart w:id="9" w:name="data_preparation"/>
      <w:r>
        <w:rPr>
          <w:rFonts w:eastAsia="Georgia" w:hAnsi="Georgia" w:cs="Georgia"/>
          <w:b/>
          <w:color w:val="000000"/>
          <w:sz w:val="24"/>
        </w:rPr>
        <w:t>Data Preparation</w:t>
      </w:r>
      <w:bookmarkEnd w:id="9"/>
    </w:p>
    <w:p w14:paraId="5CA7B623" w14:textId="77777777" w:rsidR="0074021B" w:rsidRDefault="00000000">
      <w:pPr>
        <w:spacing w:after="210" w:line="360" w:lineRule="auto"/>
      </w:pPr>
      <w:r>
        <w:rPr>
          <w:rFonts w:eastAsia="Georgia" w:hAnsi="Georgia" w:cs="Georgia"/>
          <w:color w:val="000000"/>
        </w:rPr>
        <w:t>Before building the dashboard, the dataset needed to be structured for reporting and visual analysis. This included reviewing field names, checking numeric consistency, validating state and year identifiers, and organizing the columns required for reporting.</w:t>
      </w:r>
    </w:p>
    <w:p w14:paraId="29033A60" w14:textId="77777777" w:rsidR="0074021B" w:rsidRDefault="00000000">
      <w:pPr>
        <w:spacing w:after="210" w:line="360" w:lineRule="auto"/>
      </w:pPr>
      <w:r>
        <w:rPr>
          <w:rFonts w:eastAsia="Georgia" w:hAnsi="Georgia" w:cs="Georgia"/>
          <w:color w:val="000000"/>
        </w:rPr>
        <w:t>The data preparation stage focused on ensuring that transaction and quantity fields could be aggregated correctly and that the model could support comparisons across states and across years. This step was important because dashboard accuracy depends on clean and consistent data relationships.</w:t>
      </w:r>
    </w:p>
    <w:p w14:paraId="7BE350A9" w14:textId="77777777" w:rsidR="0074021B" w:rsidRDefault="00000000">
      <w:pPr>
        <w:spacing w:before="315" w:after="105" w:line="360" w:lineRule="auto"/>
        <w:ind w:left="-30"/>
      </w:pPr>
      <w:bookmarkStart w:id="10" w:name="key_measures_created"/>
      <w:r>
        <w:rPr>
          <w:rFonts w:eastAsia="Georgia" w:hAnsi="Georgia" w:cs="Georgia"/>
          <w:b/>
          <w:color w:val="000000"/>
          <w:sz w:val="24"/>
        </w:rPr>
        <w:t>Key Measures Created</w:t>
      </w:r>
      <w:bookmarkEnd w:id="10"/>
    </w:p>
    <w:p w14:paraId="5A9A50CA" w14:textId="77777777" w:rsidR="0074021B" w:rsidRDefault="00000000">
      <w:pPr>
        <w:spacing w:after="210" w:line="360" w:lineRule="auto"/>
      </w:pPr>
      <w:r>
        <w:rPr>
          <w:rFonts w:eastAsia="Georgia" w:hAnsi="Georgia" w:cs="Georgia"/>
          <w:color w:val="000000"/>
        </w:rPr>
        <w:t>Several measures were used to create KPI cards and chart logic inside the dashboard.</w:t>
      </w:r>
    </w:p>
    <w:p w14:paraId="6D1A36B6" w14:textId="77777777" w:rsidR="0074021B" w:rsidRDefault="00000000">
      <w:pPr>
        <w:spacing w:before="315" w:after="105" w:line="360" w:lineRule="auto"/>
        <w:ind w:left="-30"/>
      </w:pPr>
      <w:bookmarkStart w:id="11" w:name="example_measures"/>
      <w:r>
        <w:rPr>
          <w:rFonts w:eastAsia="Georgia" w:hAnsi="Georgia" w:cs="Georgia"/>
          <w:b/>
          <w:color w:val="000000"/>
          <w:sz w:val="24"/>
        </w:rPr>
        <w:t>Example measures</w:t>
      </w:r>
      <w:bookmarkEnd w:id="11"/>
    </w:p>
    <w:p w14:paraId="21B1E273" w14:textId="77777777" w:rsidR="0074021B" w:rsidRDefault="00000000">
      <w:pPr>
        <w:numPr>
          <w:ilvl w:val="0"/>
          <w:numId w:val="6"/>
        </w:numPr>
        <w:spacing w:before="105" w:after="105" w:line="360" w:lineRule="auto"/>
      </w:pPr>
      <w:r>
        <w:rPr>
          <w:rFonts w:eastAsia="Georgia" w:hAnsi="Georgia" w:cs="Georgia"/>
          <w:b/>
          <w:color w:val="000000"/>
        </w:rPr>
        <w:t>Total AAY Transactions</w:t>
      </w:r>
      <w:r>
        <w:rPr>
          <w:rFonts w:eastAsia="Georgia" w:hAnsi="Georgia" w:cs="Georgia"/>
          <w:color w:val="000000"/>
        </w:rPr>
        <w:t xml:space="preserve"> = Sum of AAY transactions</w:t>
      </w:r>
    </w:p>
    <w:p w14:paraId="404912D8" w14:textId="77777777" w:rsidR="0074021B" w:rsidRDefault="00000000">
      <w:pPr>
        <w:numPr>
          <w:ilvl w:val="0"/>
          <w:numId w:val="6"/>
        </w:numPr>
        <w:spacing w:before="105" w:after="105" w:line="360" w:lineRule="auto"/>
      </w:pPr>
      <w:r>
        <w:rPr>
          <w:rFonts w:eastAsia="Georgia" w:hAnsi="Georgia" w:cs="Georgia"/>
          <w:b/>
          <w:color w:val="000000"/>
        </w:rPr>
        <w:t>Total PHH Transactions</w:t>
      </w:r>
      <w:r>
        <w:rPr>
          <w:rFonts w:eastAsia="Georgia" w:hAnsi="Georgia" w:cs="Georgia"/>
          <w:color w:val="000000"/>
        </w:rPr>
        <w:t xml:space="preserve"> = Sum of PHH transactions</w:t>
      </w:r>
    </w:p>
    <w:p w14:paraId="4E64C3BB" w14:textId="77777777" w:rsidR="0074021B" w:rsidRDefault="00000000">
      <w:pPr>
        <w:numPr>
          <w:ilvl w:val="0"/>
          <w:numId w:val="6"/>
        </w:numPr>
        <w:spacing w:before="105" w:after="105" w:line="360" w:lineRule="auto"/>
      </w:pPr>
      <w:r>
        <w:rPr>
          <w:rFonts w:eastAsia="Georgia" w:hAnsi="Georgia" w:cs="Georgia"/>
          <w:b/>
          <w:color w:val="000000"/>
        </w:rPr>
        <w:t>Total Quantity MT</w:t>
      </w:r>
      <w:r>
        <w:rPr>
          <w:rFonts w:eastAsia="Georgia" w:hAnsi="Georgia" w:cs="Georgia"/>
          <w:color w:val="000000"/>
        </w:rPr>
        <w:t xml:space="preserve"> = Inter-district quantity + Intra-district quantity</w:t>
      </w:r>
    </w:p>
    <w:p w14:paraId="0AB5BFEB" w14:textId="77777777" w:rsidR="0074021B" w:rsidRDefault="00000000">
      <w:pPr>
        <w:numPr>
          <w:ilvl w:val="0"/>
          <w:numId w:val="6"/>
        </w:numPr>
        <w:spacing w:before="105" w:after="105" w:line="360" w:lineRule="auto"/>
      </w:pPr>
      <w:r>
        <w:rPr>
          <w:rFonts w:eastAsia="Georgia" w:hAnsi="Georgia" w:cs="Georgia"/>
          <w:b/>
          <w:color w:val="000000"/>
        </w:rPr>
        <w:lastRenderedPageBreak/>
        <w:t>AAY Share %</w:t>
      </w:r>
      <w:r>
        <w:rPr>
          <w:rFonts w:eastAsia="Georgia" w:hAnsi="Georgia" w:cs="Georgia"/>
          <w:color w:val="000000"/>
        </w:rPr>
        <w:t xml:space="preserve"> = AAY transactions divided by total scheme transactions</w:t>
      </w:r>
    </w:p>
    <w:p w14:paraId="79904BD2" w14:textId="77777777" w:rsidR="0074021B" w:rsidRDefault="00000000">
      <w:pPr>
        <w:numPr>
          <w:ilvl w:val="0"/>
          <w:numId w:val="6"/>
        </w:numPr>
        <w:spacing w:before="105" w:after="105" w:line="360" w:lineRule="auto"/>
      </w:pPr>
      <w:r>
        <w:rPr>
          <w:rFonts w:eastAsia="Georgia" w:hAnsi="Georgia" w:cs="Georgia"/>
          <w:b/>
          <w:color w:val="000000"/>
        </w:rPr>
        <w:t>Top State by Quantity or Transactions</w:t>
      </w:r>
      <w:r>
        <w:rPr>
          <w:rFonts w:eastAsia="Georgia" w:hAnsi="Georgia" w:cs="Georgia"/>
          <w:color w:val="000000"/>
        </w:rPr>
        <w:t xml:space="preserve"> = Ranking-based identification of leading states</w:t>
      </w:r>
    </w:p>
    <w:p w14:paraId="2FB9B2FF" w14:textId="77777777" w:rsidR="0074021B" w:rsidRDefault="00000000">
      <w:pPr>
        <w:spacing w:after="210" w:line="360" w:lineRule="auto"/>
      </w:pPr>
      <w:r>
        <w:rPr>
          <w:rFonts w:eastAsia="Georgia" w:hAnsi="Georgia" w:cs="Georgia"/>
          <w:color w:val="000000"/>
        </w:rPr>
        <w:t>These measures helped transform raw columns into decision-oriented indicators that could be used across multiple report pages.</w:t>
      </w:r>
    </w:p>
    <w:p w14:paraId="0214B649" w14:textId="77777777" w:rsidR="0074021B" w:rsidRDefault="00000000">
      <w:pPr>
        <w:spacing w:before="315" w:after="105" w:line="360" w:lineRule="auto"/>
        <w:ind w:left="-30"/>
      </w:pPr>
      <w:bookmarkStart w:id="12" w:name="dashboard_design_approach"/>
      <w:r>
        <w:rPr>
          <w:rFonts w:eastAsia="Georgia" w:hAnsi="Georgia" w:cs="Georgia"/>
          <w:b/>
          <w:color w:val="000000"/>
          <w:sz w:val="24"/>
        </w:rPr>
        <w:t>Dashboard Design Approach</w:t>
      </w:r>
      <w:bookmarkEnd w:id="12"/>
    </w:p>
    <w:p w14:paraId="6FA1B33B" w14:textId="77777777" w:rsidR="0074021B" w:rsidRDefault="00000000">
      <w:pPr>
        <w:spacing w:after="210" w:line="360" w:lineRule="auto"/>
      </w:pPr>
      <w:r>
        <w:rPr>
          <w:rFonts w:eastAsia="Georgia" w:hAnsi="Georgia" w:cs="Georgia"/>
          <w:color w:val="000000"/>
        </w:rPr>
        <w:t>The dashboard was designed with the goal of making the analysis easy to understand for a non-technical stakeholder. Instead of placing all visuals on one page, the report was divided into three separate sections so that each page could answer a different type of question.</w:t>
      </w:r>
    </w:p>
    <w:p w14:paraId="2965DECA" w14:textId="77777777" w:rsidR="0074021B" w:rsidRDefault="00000000">
      <w:pPr>
        <w:spacing w:after="210" w:line="360" w:lineRule="auto"/>
      </w:pPr>
      <w:r>
        <w:rPr>
          <w:rFonts w:eastAsia="Georgia" w:hAnsi="Georgia" w:cs="Georgia"/>
          <w:color w:val="000000"/>
        </w:rPr>
        <w:t>This structure improves readability, makes insights easier to explain in interviews, and reflects a more realistic business dashboard design process.</w:t>
      </w:r>
    </w:p>
    <w:p w14:paraId="4420BBA2" w14:textId="77777777" w:rsidR="0074021B" w:rsidRDefault="00000000">
      <w:pPr>
        <w:spacing w:before="315" w:after="105" w:line="360" w:lineRule="auto"/>
        <w:ind w:left="-30"/>
      </w:pPr>
      <w:bookmarkStart w:id="13" w:name="dashboard_pages"/>
      <w:r>
        <w:rPr>
          <w:rFonts w:eastAsia="Georgia" w:hAnsi="Georgia" w:cs="Georgia"/>
          <w:b/>
          <w:color w:val="000000"/>
          <w:sz w:val="24"/>
        </w:rPr>
        <w:t>Dashboard Pages</w:t>
      </w:r>
      <w:bookmarkEnd w:id="13"/>
    </w:p>
    <w:p w14:paraId="36CAFDEF" w14:textId="77777777" w:rsidR="0074021B" w:rsidRDefault="00000000">
      <w:pPr>
        <w:spacing w:before="315" w:after="105" w:line="360" w:lineRule="auto"/>
        <w:ind w:left="-30"/>
      </w:pPr>
      <w:bookmarkStart w:id="14" w:name="bm_1_overview"/>
      <w:r>
        <w:rPr>
          <w:rFonts w:eastAsia="Georgia" w:hAnsi="Georgia" w:cs="Georgia"/>
          <w:b/>
          <w:color w:val="000000"/>
          <w:sz w:val="24"/>
        </w:rPr>
        <w:t>1. Overview</w:t>
      </w:r>
      <w:bookmarkEnd w:id="14"/>
    </w:p>
    <w:p w14:paraId="247C89A0" w14:textId="77777777" w:rsidR="0074021B" w:rsidRDefault="00000000">
      <w:pPr>
        <w:spacing w:after="210" w:line="360" w:lineRule="auto"/>
      </w:pPr>
      <w:r>
        <w:rPr>
          <w:rFonts w:eastAsia="Georgia" w:hAnsi="Georgia" w:cs="Georgia"/>
          <w:color w:val="000000"/>
        </w:rPr>
        <w:t>The Overview page provides a high-level summary of the dataset through major KPIs and broad trend visuals. It is intended to give decision-makers an immediate snapshot of distribution performance without requiring them to explore detailed state-level records.</w:t>
      </w:r>
    </w:p>
    <w:p w14:paraId="58B883C2" w14:textId="77777777" w:rsidR="0074021B" w:rsidRDefault="00000000">
      <w:pPr>
        <w:spacing w:after="210" w:line="360" w:lineRule="auto"/>
      </w:pPr>
      <w:r>
        <w:rPr>
          <w:rFonts w:eastAsia="Georgia" w:hAnsi="Georgia" w:cs="Georgia"/>
          <w:color w:val="000000"/>
        </w:rPr>
        <w:t>This page acts as the entry point for the report and sets the context for the deeper analysis in later pages.</w:t>
      </w:r>
    </w:p>
    <w:p w14:paraId="39A39201" w14:textId="77777777" w:rsidR="0074021B" w:rsidRDefault="00000000">
      <w:pPr>
        <w:spacing w:before="315" w:after="105" w:line="360" w:lineRule="auto"/>
        <w:ind w:left="-30"/>
      </w:pPr>
      <w:bookmarkStart w:id="15" w:name="bm_2_state_performance"/>
      <w:r>
        <w:rPr>
          <w:rFonts w:eastAsia="Georgia" w:hAnsi="Georgia" w:cs="Georgia"/>
          <w:b/>
          <w:color w:val="000000"/>
          <w:sz w:val="24"/>
        </w:rPr>
        <w:t>2. State Performance</w:t>
      </w:r>
      <w:bookmarkEnd w:id="15"/>
    </w:p>
    <w:p w14:paraId="5324F2C0" w14:textId="77777777" w:rsidR="0074021B" w:rsidRDefault="00000000">
      <w:pPr>
        <w:spacing w:after="210" w:line="360" w:lineRule="auto"/>
      </w:pPr>
      <w:r>
        <w:rPr>
          <w:rFonts w:eastAsia="Georgia" w:hAnsi="Georgia" w:cs="Georgia"/>
          <w:color w:val="000000"/>
        </w:rPr>
        <w:t>The State Performance page compares states across transaction volume and quantity-related measures. It helps identify states with stronger or weaker scheme activity and allows the user to focus on relative performance instead of only reviewing national totals.</w:t>
      </w:r>
    </w:p>
    <w:p w14:paraId="4B81870B" w14:textId="77777777" w:rsidR="0074021B" w:rsidRDefault="00000000">
      <w:pPr>
        <w:spacing w:after="210" w:line="360" w:lineRule="auto"/>
      </w:pPr>
      <w:r>
        <w:rPr>
          <w:rFonts w:eastAsia="Georgia" w:hAnsi="Georgia" w:cs="Georgia"/>
          <w:color w:val="000000"/>
        </w:rPr>
        <w:t>This page is especially useful for understanding regional variation and identifying outlier states that may need further operational review.</w:t>
      </w:r>
    </w:p>
    <w:p w14:paraId="43267BED" w14:textId="77777777" w:rsidR="0074021B" w:rsidRDefault="00000000">
      <w:pPr>
        <w:spacing w:before="315" w:after="105" w:line="360" w:lineRule="auto"/>
        <w:ind w:left="-30"/>
      </w:pPr>
      <w:bookmarkStart w:id="16" w:name="bm_3_scheme_and_movement_analysis"/>
      <w:r>
        <w:rPr>
          <w:rFonts w:eastAsia="Georgia" w:hAnsi="Georgia" w:cs="Georgia"/>
          <w:b/>
          <w:color w:val="000000"/>
          <w:sz w:val="24"/>
        </w:rPr>
        <w:t>3. Scheme and Movement Analysis</w:t>
      </w:r>
      <w:bookmarkEnd w:id="16"/>
    </w:p>
    <w:p w14:paraId="366CFF27" w14:textId="77777777" w:rsidR="0074021B" w:rsidRDefault="00000000">
      <w:pPr>
        <w:spacing w:after="210" w:line="360" w:lineRule="auto"/>
      </w:pPr>
      <w:r>
        <w:rPr>
          <w:rFonts w:eastAsia="Georgia" w:hAnsi="Georgia" w:cs="Georgia"/>
          <w:color w:val="000000"/>
        </w:rPr>
        <w:t>The Scheme and Movement Analysis page focuses on the relationship between scheme transactions and movement trends. It compares AAY and PHH transactions by year, evaluates inter-district and intra-district quantity movement by state, and tracks AAY share percentage over time.</w:t>
      </w:r>
    </w:p>
    <w:p w14:paraId="0E853CA9" w14:textId="77777777" w:rsidR="0074021B" w:rsidRDefault="00000000">
      <w:pPr>
        <w:spacing w:after="210" w:line="360" w:lineRule="auto"/>
      </w:pPr>
      <w:r>
        <w:rPr>
          <w:rFonts w:eastAsia="Georgia" w:hAnsi="Georgia" w:cs="Georgia"/>
          <w:color w:val="000000"/>
        </w:rPr>
        <w:lastRenderedPageBreak/>
        <w:t>This page is the most analytical section of the report because it combines time-series comparison, state-level movement analysis, and scheme proportion trends in one business story.</w:t>
      </w:r>
    </w:p>
    <w:p w14:paraId="2874C96E" w14:textId="77777777" w:rsidR="0074021B" w:rsidRDefault="00000000">
      <w:pPr>
        <w:spacing w:before="315" w:after="105" w:line="360" w:lineRule="auto"/>
        <w:ind w:left="-30"/>
      </w:pPr>
      <w:bookmarkStart w:id="17" w:name="key_insights_from_the_dashboard"/>
      <w:r>
        <w:rPr>
          <w:rFonts w:eastAsia="Georgia" w:hAnsi="Georgia" w:cs="Georgia"/>
          <w:b/>
          <w:color w:val="000000"/>
          <w:sz w:val="24"/>
        </w:rPr>
        <w:t>Key Insights from the Dashboard</w:t>
      </w:r>
      <w:bookmarkEnd w:id="17"/>
    </w:p>
    <w:p w14:paraId="236056FB" w14:textId="77777777" w:rsidR="0074021B" w:rsidRDefault="00000000">
      <w:pPr>
        <w:spacing w:after="210" w:line="360" w:lineRule="auto"/>
      </w:pPr>
      <w:r>
        <w:rPr>
          <w:rFonts w:eastAsia="Georgia" w:hAnsi="Georgia" w:cs="Georgia"/>
          <w:color w:val="000000"/>
        </w:rPr>
        <w:t>The dashboard highlights several important patterns in the public distribution data.</w:t>
      </w:r>
    </w:p>
    <w:p w14:paraId="41F5A2BE" w14:textId="77777777" w:rsidR="0074021B" w:rsidRDefault="00000000">
      <w:pPr>
        <w:spacing w:before="315" w:after="105" w:line="360" w:lineRule="auto"/>
        <w:ind w:left="-30"/>
      </w:pPr>
      <w:bookmarkStart w:id="18" w:name="bm_1_phh_transactions_dominate_sc_58cb8f"/>
      <w:r>
        <w:rPr>
          <w:rFonts w:eastAsia="Georgia" w:hAnsi="Georgia" w:cs="Georgia"/>
          <w:b/>
          <w:color w:val="000000"/>
          <w:sz w:val="24"/>
        </w:rPr>
        <w:t>1. PHH transactions dominate scheme activity</w:t>
      </w:r>
      <w:bookmarkEnd w:id="18"/>
    </w:p>
    <w:p w14:paraId="07711869" w14:textId="77777777" w:rsidR="0074021B" w:rsidRDefault="00000000">
      <w:pPr>
        <w:spacing w:after="210" w:line="360" w:lineRule="auto"/>
      </w:pPr>
      <w:r>
        <w:rPr>
          <w:rFonts w:eastAsia="Georgia" w:hAnsi="Georgia" w:cs="Georgia"/>
          <w:color w:val="000000"/>
        </w:rPr>
        <w:t>Across the observed years, PHH transactions remain consistently higher than AAY transactions. This indicates that the PHH scheme contributes the larger share of total transaction activity in the dataset.</w:t>
      </w:r>
    </w:p>
    <w:p w14:paraId="18C22F44" w14:textId="77777777" w:rsidR="0074021B" w:rsidRDefault="00000000">
      <w:pPr>
        <w:spacing w:before="315" w:after="105" w:line="360" w:lineRule="auto"/>
        <w:ind w:left="-30"/>
      </w:pPr>
      <w:bookmarkStart w:id="19" w:name="bm_2_aay_share_declines_over_time"/>
      <w:r>
        <w:rPr>
          <w:rFonts w:eastAsia="Georgia" w:hAnsi="Georgia" w:cs="Georgia"/>
          <w:b/>
          <w:color w:val="000000"/>
          <w:sz w:val="24"/>
        </w:rPr>
        <w:t>2. AAY share declines over time</w:t>
      </w:r>
      <w:bookmarkEnd w:id="19"/>
    </w:p>
    <w:p w14:paraId="6C9C033D" w14:textId="77777777" w:rsidR="0074021B" w:rsidRDefault="00000000">
      <w:pPr>
        <w:spacing w:after="210" w:line="360" w:lineRule="auto"/>
      </w:pPr>
      <w:r>
        <w:rPr>
          <w:rFonts w:eastAsia="Georgia" w:hAnsi="Georgia" w:cs="Georgia"/>
          <w:color w:val="000000"/>
        </w:rPr>
        <w:t>The AAY share percentage shows a sharp decline after the earlier period in the dataset and later stabilizes at a lower level. This suggests a structural shift in scheme composition over time.</w:t>
      </w:r>
    </w:p>
    <w:p w14:paraId="38353C90" w14:textId="77777777" w:rsidR="0074021B" w:rsidRDefault="00000000">
      <w:pPr>
        <w:spacing w:before="315" w:after="105" w:line="360" w:lineRule="auto"/>
        <w:ind w:left="-30"/>
      </w:pPr>
      <w:bookmarkStart w:id="20" w:name="bm_3_state_level_movement_pattern_6f9611"/>
      <w:r>
        <w:rPr>
          <w:rFonts w:eastAsia="Georgia" w:hAnsi="Georgia" w:cs="Georgia"/>
          <w:b/>
          <w:color w:val="000000"/>
          <w:sz w:val="24"/>
        </w:rPr>
        <w:t>3. State-level movement patterns vary significantly</w:t>
      </w:r>
      <w:bookmarkEnd w:id="20"/>
    </w:p>
    <w:p w14:paraId="6D612E76" w14:textId="77777777" w:rsidR="0074021B" w:rsidRDefault="00000000">
      <w:pPr>
        <w:spacing w:after="210" w:line="360" w:lineRule="auto"/>
      </w:pPr>
      <w:r>
        <w:rPr>
          <w:rFonts w:eastAsia="Georgia" w:hAnsi="Georgia" w:cs="Georgia"/>
          <w:color w:val="000000"/>
        </w:rPr>
        <w:t>Inter-district and intra-district quantity movement differ notably across states. A few states contribute a higher quantity share than others, showing uneven movement intensity across the system.</w:t>
      </w:r>
    </w:p>
    <w:p w14:paraId="44405004" w14:textId="77777777" w:rsidR="0074021B" w:rsidRDefault="00000000">
      <w:pPr>
        <w:spacing w:before="315" w:after="105" w:line="360" w:lineRule="auto"/>
        <w:ind w:left="-30"/>
      </w:pPr>
      <w:bookmarkStart w:id="21" w:name="bm_4_operational_comparison_becom_538bda"/>
      <w:r>
        <w:rPr>
          <w:rFonts w:eastAsia="Georgia" w:hAnsi="Georgia" w:cs="Georgia"/>
          <w:b/>
          <w:color w:val="000000"/>
          <w:sz w:val="24"/>
        </w:rPr>
        <w:t>4. Operational comparison becomes easier with visual reporting</w:t>
      </w:r>
      <w:bookmarkEnd w:id="21"/>
    </w:p>
    <w:p w14:paraId="724A79B3" w14:textId="77777777" w:rsidR="0074021B" w:rsidRDefault="00000000">
      <w:pPr>
        <w:spacing w:after="210" w:line="360" w:lineRule="auto"/>
      </w:pPr>
      <w:r>
        <w:rPr>
          <w:rFonts w:eastAsia="Georgia" w:hAnsi="Georgia" w:cs="Georgia"/>
          <w:color w:val="000000"/>
        </w:rPr>
        <w:t>The dashboard makes it far easier to compare transactions, movement patterns, and scheme share trends than reviewing raw tabular records. Decision-makers can quickly switch between a high-level view and a filtered state-level perspective.</w:t>
      </w:r>
    </w:p>
    <w:p w14:paraId="2E2BB679" w14:textId="77777777" w:rsidR="0074021B" w:rsidRDefault="00000000">
      <w:pPr>
        <w:spacing w:before="315" w:after="105" w:line="360" w:lineRule="auto"/>
        <w:ind w:left="-30"/>
      </w:pPr>
      <w:bookmarkStart w:id="22" w:name="bm_5_interactive_filtering_improv_c7b983"/>
      <w:r>
        <w:rPr>
          <w:rFonts w:eastAsia="Georgia" w:hAnsi="Georgia" w:cs="Georgia"/>
          <w:b/>
          <w:color w:val="000000"/>
          <w:sz w:val="24"/>
        </w:rPr>
        <w:t>5. Interactive filtering improves usability</w:t>
      </w:r>
      <w:bookmarkEnd w:id="22"/>
    </w:p>
    <w:p w14:paraId="5E040FE7" w14:textId="77777777" w:rsidR="0074021B" w:rsidRDefault="00000000">
      <w:pPr>
        <w:spacing w:after="210" w:line="360" w:lineRule="auto"/>
      </w:pPr>
      <w:r>
        <w:rPr>
          <w:rFonts w:eastAsia="Georgia" w:hAnsi="Georgia" w:cs="Georgia"/>
          <w:color w:val="000000"/>
        </w:rPr>
        <w:t>The use of slicers and page-level visuals allows users to isolate specific states and examine how scheme activity and movement patterns differ from the broader national trend.</w:t>
      </w:r>
    </w:p>
    <w:p w14:paraId="5CE309DA" w14:textId="77777777" w:rsidR="0074021B" w:rsidRDefault="00000000">
      <w:pPr>
        <w:spacing w:before="315" w:after="105" w:line="360" w:lineRule="auto"/>
        <w:ind w:left="-30"/>
      </w:pPr>
      <w:bookmarkStart w:id="23" w:name="recommendations"/>
      <w:r>
        <w:rPr>
          <w:rFonts w:eastAsia="Georgia" w:hAnsi="Georgia" w:cs="Georgia"/>
          <w:b/>
          <w:color w:val="000000"/>
          <w:sz w:val="24"/>
        </w:rPr>
        <w:t>Recommendations</w:t>
      </w:r>
      <w:bookmarkEnd w:id="23"/>
    </w:p>
    <w:p w14:paraId="0CFDD07B" w14:textId="77777777" w:rsidR="0074021B" w:rsidRDefault="00000000">
      <w:pPr>
        <w:spacing w:after="210" w:line="360" w:lineRule="auto"/>
      </w:pPr>
      <w:r>
        <w:rPr>
          <w:rFonts w:eastAsia="Georgia" w:hAnsi="Georgia" w:cs="Georgia"/>
          <w:color w:val="000000"/>
        </w:rPr>
        <w:t>Based on the analysis, the following business recommendations can be made:</w:t>
      </w:r>
    </w:p>
    <w:p w14:paraId="0033C1D3" w14:textId="77777777" w:rsidR="0074021B" w:rsidRDefault="00000000">
      <w:pPr>
        <w:numPr>
          <w:ilvl w:val="0"/>
          <w:numId w:val="7"/>
        </w:numPr>
        <w:spacing w:before="105" w:after="105" w:line="360" w:lineRule="auto"/>
      </w:pPr>
      <w:r>
        <w:rPr>
          <w:rFonts w:eastAsia="Georgia" w:hAnsi="Georgia" w:cs="Georgia"/>
          <w:color w:val="000000"/>
        </w:rPr>
        <w:t>Monitor states with unusually high or low quantity movement to detect inefficiencies or irregular distribution patterns.</w:t>
      </w:r>
    </w:p>
    <w:p w14:paraId="5C9F6589" w14:textId="77777777" w:rsidR="0074021B" w:rsidRDefault="00000000">
      <w:pPr>
        <w:numPr>
          <w:ilvl w:val="0"/>
          <w:numId w:val="7"/>
        </w:numPr>
        <w:spacing w:before="105" w:after="105" w:line="360" w:lineRule="auto"/>
      </w:pPr>
      <w:r>
        <w:rPr>
          <w:rFonts w:eastAsia="Georgia" w:hAnsi="Georgia" w:cs="Georgia"/>
          <w:color w:val="000000"/>
        </w:rPr>
        <w:t>Review the long-term decline in AAY share to understand whether it reflects policy shifts, population coverage changes, or administrative changes in targeting.</w:t>
      </w:r>
    </w:p>
    <w:p w14:paraId="6A072737" w14:textId="77777777" w:rsidR="0074021B" w:rsidRDefault="00000000">
      <w:pPr>
        <w:numPr>
          <w:ilvl w:val="0"/>
          <w:numId w:val="7"/>
        </w:numPr>
        <w:spacing w:before="105" w:after="105" w:line="360" w:lineRule="auto"/>
      </w:pPr>
      <w:r>
        <w:rPr>
          <w:rFonts w:eastAsia="Georgia" w:hAnsi="Georgia" w:cs="Georgia"/>
          <w:color w:val="000000"/>
        </w:rPr>
        <w:lastRenderedPageBreak/>
        <w:t>Use state-level filtering more frequently during performance reviews instead of depending only on national aggregates.</w:t>
      </w:r>
    </w:p>
    <w:p w14:paraId="2F78472B" w14:textId="77777777" w:rsidR="0074021B" w:rsidRDefault="00000000">
      <w:pPr>
        <w:numPr>
          <w:ilvl w:val="0"/>
          <w:numId w:val="7"/>
        </w:numPr>
        <w:spacing w:before="105" w:after="105" w:line="360" w:lineRule="auto"/>
      </w:pPr>
      <w:r>
        <w:rPr>
          <w:rFonts w:eastAsia="Georgia" w:hAnsi="Georgia" w:cs="Georgia"/>
          <w:color w:val="000000"/>
        </w:rPr>
        <w:t>Extend the dashboard in future versions by adding district-level drill-down, beneficiary counts, stock position, and supply chain delay metrics.</w:t>
      </w:r>
    </w:p>
    <w:p w14:paraId="344EFC76" w14:textId="77777777" w:rsidR="0074021B" w:rsidRDefault="00000000">
      <w:pPr>
        <w:numPr>
          <w:ilvl w:val="0"/>
          <w:numId w:val="7"/>
        </w:numPr>
        <w:spacing w:before="105" w:after="105" w:line="360" w:lineRule="auto"/>
      </w:pPr>
      <w:r>
        <w:rPr>
          <w:rFonts w:eastAsia="Georgia" w:hAnsi="Georgia" w:cs="Georgia"/>
          <w:color w:val="000000"/>
        </w:rPr>
        <w:t>Build alert-based reporting for states that show abnormal movement or sudden scheme-level changes.</w:t>
      </w:r>
    </w:p>
    <w:p w14:paraId="55380B6A" w14:textId="77777777" w:rsidR="0074021B" w:rsidRDefault="00000000">
      <w:pPr>
        <w:spacing w:before="315" w:after="105" w:line="360" w:lineRule="auto"/>
        <w:ind w:left="-30"/>
      </w:pPr>
      <w:bookmarkStart w:id="24" w:name="business_value_of_the_project"/>
      <w:r>
        <w:rPr>
          <w:rFonts w:eastAsia="Georgia" w:hAnsi="Georgia" w:cs="Georgia"/>
          <w:b/>
          <w:color w:val="000000"/>
          <w:sz w:val="24"/>
        </w:rPr>
        <w:t>Business Value of the Project</w:t>
      </w:r>
      <w:bookmarkEnd w:id="24"/>
    </w:p>
    <w:p w14:paraId="621AC576" w14:textId="77777777" w:rsidR="0074021B" w:rsidRDefault="00000000">
      <w:pPr>
        <w:spacing w:after="210" w:line="360" w:lineRule="auto"/>
      </w:pPr>
      <w:r>
        <w:rPr>
          <w:rFonts w:eastAsia="Georgia" w:hAnsi="Georgia" w:cs="Georgia"/>
          <w:color w:val="000000"/>
        </w:rPr>
        <w:t>This dashboard adds value by turning raw operational data into a format that supports decision-making. Instead of relying on spreadsheets and disconnected summaries, stakeholders can use one interactive report to compare schemes, evaluate movement trends, and identify performance patterns across states.</w:t>
      </w:r>
    </w:p>
    <w:p w14:paraId="3816258C" w14:textId="77777777" w:rsidR="0074021B" w:rsidRDefault="00000000">
      <w:pPr>
        <w:spacing w:after="210" w:line="360" w:lineRule="auto"/>
      </w:pPr>
      <w:r>
        <w:rPr>
          <w:rFonts w:eastAsia="Georgia" w:hAnsi="Georgia" w:cs="Georgia"/>
          <w:color w:val="000000"/>
        </w:rPr>
        <w:t>From a professional perspective, the project also demonstrates the ability to think like a data analyst by combining technical dashboard development with business interpretation. It shows not only how visuals were created, but also why those visuals matter.</w:t>
      </w:r>
    </w:p>
    <w:p w14:paraId="44AB31FE" w14:textId="77777777" w:rsidR="0074021B" w:rsidRDefault="00000000">
      <w:pPr>
        <w:spacing w:before="315" w:after="105" w:line="360" w:lineRule="auto"/>
        <w:ind w:left="-30"/>
      </w:pPr>
      <w:bookmarkStart w:id="25" w:name="challenges_and_learning"/>
      <w:r>
        <w:rPr>
          <w:rFonts w:eastAsia="Georgia" w:hAnsi="Georgia" w:cs="Georgia"/>
          <w:b/>
          <w:color w:val="000000"/>
          <w:sz w:val="24"/>
        </w:rPr>
        <w:t>Challenges and Learning</w:t>
      </w:r>
      <w:bookmarkEnd w:id="25"/>
    </w:p>
    <w:p w14:paraId="76A9B7B5" w14:textId="77777777" w:rsidR="0074021B" w:rsidRDefault="00000000">
      <w:pPr>
        <w:spacing w:after="210" w:line="360" w:lineRule="auto"/>
      </w:pPr>
      <w:r>
        <w:rPr>
          <w:rFonts w:eastAsia="Georgia" w:hAnsi="Georgia" w:cs="Georgia"/>
          <w:color w:val="000000"/>
        </w:rPr>
        <w:t>One of the major challenges in this project was converting multiple operational fields into a clear and structured dashboard story. Scheme transaction data and quantity movement data can easily become cluttered when too many visuals are placed together. The final solution required careful page design, metric selection, and chart organization.</w:t>
      </w:r>
    </w:p>
    <w:p w14:paraId="67F9A42C" w14:textId="77777777" w:rsidR="0074021B" w:rsidRDefault="00000000">
      <w:pPr>
        <w:spacing w:after="210" w:line="360" w:lineRule="auto"/>
      </w:pPr>
      <w:r>
        <w:rPr>
          <w:rFonts w:eastAsia="Georgia" w:hAnsi="Georgia" w:cs="Georgia"/>
          <w:color w:val="000000"/>
        </w:rPr>
        <w:t>This project also strengthened practical skills in data modeling, DAX-based measure creation, layout planning, and insight writing. It improved understanding of how to design dashboards that are both technically correct and business-friendly.</w:t>
      </w:r>
    </w:p>
    <w:p w14:paraId="6F1C0AEA" w14:textId="77777777" w:rsidR="0074021B" w:rsidRDefault="00000000">
      <w:pPr>
        <w:spacing w:before="315" w:after="105" w:line="360" w:lineRule="auto"/>
        <w:ind w:left="-30"/>
      </w:pPr>
      <w:bookmarkStart w:id="26" w:name="conclusion"/>
      <w:r>
        <w:rPr>
          <w:rFonts w:eastAsia="Georgia" w:hAnsi="Georgia" w:cs="Georgia"/>
          <w:b/>
          <w:color w:val="000000"/>
          <w:sz w:val="24"/>
        </w:rPr>
        <w:t>Conclusion</w:t>
      </w:r>
      <w:bookmarkEnd w:id="26"/>
    </w:p>
    <w:p w14:paraId="21DBB888" w14:textId="77777777" w:rsidR="0074021B" w:rsidRDefault="00000000">
      <w:pPr>
        <w:spacing w:after="210" w:line="360" w:lineRule="auto"/>
      </w:pPr>
      <w:r>
        <w:rPr>
          <w:rFonts w:eastAsia="Georgia" w:hAnsi="Georgia" w:cs="Georgia"/>
          <w:color w:val="000000"/>
        </w:rPr>
        <w:t>The Public Distribution Scheme Analysis Dashboard in Power BI demonstrates how data visualization can be used to improve understanding of large-scale operational data. By analyzing AAY and PHH transactions, state-level movement quantities, and year-wise scheme share, the dashboard provides a structured view of public distribution performance.</w:t>
      </w:r>
    </w:p>
    <w:p w14:paraId="05430743" w14:textId="77777777" w:rsidR="0074021B" w:rsidRDefault="00000000">
      <w:pPr>
        <w:spacing w:after="210" w:line="360" w:lineRule="auto"/>
      </w:pPr>
      <w:r>
        <w:rPr>
          <w:rFonts w:eastAsia="Georgia" w:hAnsi="Georgia" w:cs="Georgia"/>
          <w:color w:val="000000"/>
        </w:rPr>
        <w:t>The project successfully meets portfolio and resume standards because it combines data preparation, KPI design, dashboard interactivity, and business insights in one complete analytical solution. It is suitable for showcasing data analyst skills in Power BI, reporting, and dashboard storytelling.</w:t>
      </w:r>
    </w:p>
    <w:sectPr w:rsidR="0074021B">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6C26"/>
    <w:multiLevelType w:val="hybridMultilevel"/>
    <w:tmpl w:val="636C9C74"/>
    <w:lvl w:ilvl="0" w:tplc="BD16968E">
      <w:start w:val="1"/>
      <w:numFmt w:val="bullet"/>
      <w:lvlText w:val=""/>
      <w:lvlJc w:val="left"/>
      <w:pPr>
        <w:tabs>
          <w:tab w:val="num" w:pos="900"/>
        </w:tabs>
        <w:ind w:left="540" w:hanging="360"/>
      </w:pPr>
      <w:rPr>
        <w:rFonts w:ascii="Symbol" w:hAnsi="Symbol" w:hint="default"/>
      </w:rPr>
    </w:lvl>
    <w:lvl w:ilvl="1" w:tplc="3ECEC42A">
      <w:numFmt w:val="decimal"/>
      <w:lvlText w:val=""/>
      <w:lvlJc w:val="left"/>
    </w:lvl>
    <w:lvl w:ilvl="2" w:tplc="F18C2BC8">
      <w:numFmt w:val="decimal"/>
      <w:lvlText w:val=""/>
      <w:lvlJc w:val="left"/>
    </w:lvl>
    <w:lvl w:ilvl="3" w:tplc="16982DD6">
      <w:numFmt w:val="decimal"/>
      <w:lvlText w:val=""/>
      <w:lvlJc w:val="left"/>
    </w:lvl>
    <w:lvl w:ilvl="4" w:tplc="C8E47FEE">
      <w:numFmt w:val="decimal"/>
      <w:lvlText w:val=""/>
      <w:lvlJc w:val="left"/>
    </w:lvl>
    <w:lvl w:ilvl="5" w:tplc="3BDCDF0C">
      <w:numFmt w:val="decimal"/>
      <w:lvlText w:val=""/>
      <w:lvlJc w:val="left"/>
    </w:lvl>
    <w:lvl w:ilvl="6" w:tplc="809C69B6">
      <w:numFmt w:val="decimal"/>
      <w:lvlText w:val=""/>
      <w:lvlJc w:val="left"/>
    </w:lvl>
    <w:lvl w:ilvl="7" w:tplc="D1CAE386">
      <w:numFmt w:val="decimal"/>
      <w:lvlText w:val=""/>
      <w:lvlJc w:val="left"/>
    </w:lvl>
    <w:lvl w:ilvl="8" w:tplc="1E620B56">
      <w:numFmt w:val="decimal"/>
      <w:lvlText w:val=""/>
      <w:lvlJc w:val="left"/>
    </w:lvl>
  </w:abstractNum>
  <w:abstractNum w:abstractNumId="1" w15:restartNumberingAfterBreak="0">
    <w:nsid w:val="03CE36ED"/>
    <w:multiLevelType w:val="hybridMultilevel"/>
    <w:tmpl w:val="B16E5F5A"/>
    <w:lvl w:ilvl="0" w:tplc="76D6565C">
      <w:start w:val="1"/>
      <w:numFmt w:val="bullet"/>
      <w:lvlText w:val=""/>
      <w:lvlJc w:val="left"/>
      <w:pPr>
        <w:tabs>
          <w:tab w:val="num" w:pos="900"/>
        </w:tabs>
        <w:ind w:left="540" w:hanging="360"/>
      </w:pPr>
      <w:rPr>
        <w:rFonts w:ascii="Symbol" w:hAnsi="Symbol" w:hint="default"/>
      </w:rPr>
    </w:lvl>
    <w:lvl w:ilvl="1" w:tplc="92B4A42E">
      <w:numFmt w:val="decimal"/>
      <w:lvlText w:val=""/>
      <w:lvlJc w:val="left"/>
    </w:lvl>
    <w:lvl w:ilvl="2" w:tplc="F69A28FE">
      <w:numFmt w:val="decimal"/>
      <w:lvlText w:val=""/>
      <w:lvlJc w:val="left"/>
    </w:lvl>
    <w:lvl w:ilvl="3" w:tplc="F7E2559A">
      <w:numFmt w:val="decimal"/>
      <w:lvlText w:val=""/>
      <w:lvlJc w:val="left"/>
    </w:lvl>
    <w:lvl w:ilvl="4" w:tplc="6E46F0C4">
      <w:numFmt w:val="decimal"/>
      <w:lvlText w:val=""/>
      <w:lvlJc w:val="left"/>
    </w:lvl>
    <w:lvl w:ilvl="5" w:tplc="50FAE104">
      <w:numFmt w:val="decimal"/>
      <w:lvlText w:val=""/>
      <w:lvlJc w:val="left"/>
    </w:lvl>
    <w:lvl w:ilvl="6" w:tplc="E922747A">
      <w:numFmt w:val="decimal"/>
      <w:lvlText w:val=""/>
      <w:lvlJc w:val="left"/>
    </w:lvl>
    <w:lvl w:ilvl="7" w:tplc="CBEA48A0">
      <w:numFmt w:val="decimal"/>
      <w:lvlText w:val=""/>
      <w:lvlJc w:val="left"/>
    </w:lvl>
    <w:lvl w:ilvl="8" w:tplc="99D880D6">
      <w:numFmt w:val="decimal"/>
      <w:lvlText w:val=""/>
      <w:lvlJc w:val="left"/>
    </w:lvl>
  </w:abstractNum>
  <w:abstractNum w:abstractNumId="2" w15:restartNumberingAfterBreak="0">
    <w:nsid w:val="109015F4"/>
    <w:multiLevelType w:val="hybridMultilevel"/>
    <w:tmpl w:val="DF3C8C18"/>
    <w:lvl w:ilvl="0" w:tplc="E04C7AAE">
      <w:start w:val="1"/>
      <w:numFmt w:val="bullet"/>
      <w:lvlText w:val=""/>
      <w:lvlJc w:val="left"/>
      <w:pPr>
        <w:tabs>
          <w:tab w:val="num" w:pos="900"/>
        </w:tabs>
        <w:ind w:left="540" w:hanging="360"/>
      </w:pPr>
      <w:rPr>
        <w:rFonts w:ascii="Symbol" w:hAnsi="Symbol" w:hint="default"/>
      </w:rPr>
    </w:lvl>
    <w:lvl w:ilvl="1" w:tplc="E9D65F34">
      <w:numFmt w:val="decimal"/>
      <w:lvlText w:val=""/>
      <w:lvlJc w:val="left"/>
    </w:lvl>
    <w:lvl w:ilvl="2" w:tplc="AF0C1412">
      <w:numFmt w:val="decimal"/>
      <w:lvlText w:val=""/>
      <w:lvlJc w:val="left"/>
    </w:lvl>
    <w:lvl w:ilvl="3" w:tplc="6A5A9DDA">
      <w:numFmt w:val="decimal"/>
      <w:lvlText w:val=""/>
      <w:lvlJc w:val="left"/>
    </w:lvl>
    <w:lvl w:ilvl="4" w:tplc="52D2D2B8">
      <w:numFmt w:val="decimal"/>
      <w:lvlText w:val=""/>
      <w:lvlJc w:val="left"/>
    </w:lvl>
    <w:lvl w:ilvl="5" w:tplc="5EDA5990">
      <w:numFmt w:val="decimal"/>
      <w:lvlText w:val=""/>
      <w:lvlJc w:val="left"/>
    </w:lvl>
    <w:lvl w:ilvl="6" w:tplc="7EACF1B4">
      <w:numFmt w:val="decimal"/>
      <w:lvlText w:val=""/>
      <w:lvlJc w:val="left"/>
    </w:lvl>
    <w:lvl w:ilvl="7" w:tplc="2EF48AF2">
      <w:numFmt w:val="decimal"/>
      <w:lvlText w:val=""/>
      <w:lvlJc w:val="left"/>
    </w:lvl>
    <w:lvl w:ilvl="8" w:tplc="0E08A0A4">
      <w:numFmt w:val="decimal"/>
      <w:lvlText w:val=""/>
      <w:lvlJc w:val="left"/>
    </w:lvl>
  </w:abstractNum>
  <w:abstractNum w:abstractNumId="3" w15:restartNumberingAfterBreak="0">
    <w:nsid w:val="2ECB5D05"/>
    <w:multiLevelType w:val="hybridMultilevel"/>
    <w:tmpl w:val="B69022AA"/>
    <w:lvl w:ilvl="0" w:tplc="49C0E300">
      <w:start w:val="1"/>
      <w:numFmt w:val="bullet"/>
      <w:lvlText w:val=""/>
      <w:lvlJc w:val="left"/>
      <w:pPr>
        <w:tabs>
          <w:tab w:val="num" w:pos="900"/>
        </w:tabs>
        <w:ind w:left="540" w:hanging="360"/>
      </w:pPr>
      <w:rPr>
        <w:rFonts w:ascii="Symbol" w:hAnsi="Symbol" w:hint="default"/>
      </w:rPr>
    </w:lvl>
    <w:lvl w:ilvl="1" w:tplc="1D824FD0">
      <w:numFmt w:val="decimal"/>
      <w:lvlText w:val=""/>
      <w:lvlJc w:val="left"/>
    </w:lvl>
    <w:lvl w:ilvl="2" w:tplc="3BBABDF8">
      <w:numFmt w:val="decimal"/>
      <w:lvlText w:val=""/>
      <w:lvlJc w:val="left"/>
    </w:lvl>
    <w:lvl w:ilvl="3" w:tplc="7A24301C">
      <w:numFmt w:val="decimal"/>
      <w:lvlText w:val=""/>
      <w:lvlJc w:val="left"/>
    </w:lvl>
    <w:lvl w:ilvl="4" w:tplc="ECD2E132">
      <w:numFmt w:val="decimal"/>
      <w:lvlText w:val=""/>
      <w:lvlJc w:val="left"/>
    </w:lvl>
    <w:lvl w:ilvl="5" w:tplc="CD221ABE">
      <w:numFmt w:val="decimal"/>
      <w:lvlText w:val=""/>
      <w:lvlJc w:val="left"/>
    </w:lvl>
    <w:lvl w:ilvl="6" w:tplc="6EA64876">
      <w:numFmt w:val="decimal"/>
      <w:lvlText w:val=""/>
      <w:lvlJc w:val="left"/>
    </w:lvl>
    <w:lvl w:ilvl="7" w:tplc="39E0995E">
      <w:numFmt w:val="decimal"/>
      <w:lvlText w:val=""/>
      <w:lvlJc w:val="left"/>
    </w:lvl>
    <w:lvl w:ilvl="8" w:tplc="33186C26">
      <w:numFmt w:val="decimal"/>
      <w:lvlText w:val=""/>
      <w:lvlJc w:val="left"/>
    </w:lvl>
  </w:abstractNum>
  <w:abstractNum w:abstractNumId="4" w15:restartNumberingAfterBreak="0">
    <w:nsid w:val="370629C2"/>
    <w:multiLevelType w:val="hybridMultilevel"/>
    <w:tmpl w:val="7174090A"/>
    <w:lvl w:ilvl="0" w:tplc="18D27F14">
      <w:start w:val="1"/>
      <w:numFmt w:val="bullet"/>
      <w:lvlText w:val=""/>
      <w:lvlJc w:val="left"/>
      <w:pPr>
        <w:tabs>
          <w:tab w:val="num" w:pos="900"/>
        </w:tabs>
        <w:ind w:left="540" w:hanging="360"/>
      </w:pPr>
      <w:rPr>
        <w:rFonts w:ascii="Symbol" w:hAnsi="Symbol" w:hint="default"/>
      </w:rPr>
    </w:lvl>
    <w:lvl w:ilvl="1" w:tplc="AEA0DB62">
      <w:numFmt w:val="decimal"/>
      <w:lvlText w:val=""/>
      <w:lvlJc w:val="left"/>
    </w:lvl>
    <w:lvl w:ilvl="2" w:tplc="B8D410D6">
      <w:numFmt w:val="decimal"/>
      <w:lvlText w:val=""/>
      <w:lvlJc w:val="left"/>
    </w:lvl>
    <w:lvl w:ilvl="3" w:tplc="5E707DEA">
      <w:numFmt w:val="decimal"/>
      <w:lvlText w:val=""/>
      <w:lvlJc w:val="left"/>
    </w:lvl>
    <w:lvl w:ilvl="4" w:tplc="E124D352">
      <w:numFmt w:val="decimal"/>
      <w:lvlText w:val=""/>
      <w:lvlJc w:val="left"/>
    </w:lvl>
    <w:lvl w:ilvl="5" w:tplc="90128DB4">
      <w:numFmt w:val="decimal"/>
      <w:lvlText w:val=""/>
      <w:lvlJc w:val="left"/>
    </w:lvl>
    <w:lvl w:ilvl="6" w:tplc="BEBE0E28">
      <w:numFmt w:val="decimal"/>
      <w:lvlText w:val=""/>
      <w:lvlJc w:val="left"/>
    </w:lvl>
    <w:lvl w:ilvl="7" w:tplc="8D8013D2">
      <w:numFmt w:val="decimal"/>
      <w:lvlText w:val=""/>
      <w:lvlJc w:val="left"/>
    </w:lvl>
    <w:lvl w:ilvl="8" w:tplc="A1A00966">
      <w:numFmt w:val="decimal"/>
      <w:lvlText w:val=""/>
      <w:lvlJc w:val="left"/>
    </w:lvl>
  </w:abstractNum>
  <w:abstractNum w:abstractNumId="5" w15:restartNumberingAfterBreak="0">
    <w:nsid w:val="48C97CF3"/>
    <w:multiLevelType w:val="hybridMultilevel"/>
    <w:tmpl w:val="917CEEBC"/>
    <w:lvl w:ilvl="0" w:tplc="533C7EB2">
      <w:start w:val="1"/>
      <w:numFmt w:val="bullet"/>
      <w:lvlText w:val=""/>
      <w:lvlJc w:val="left"/>
      <w:pPr>
        <w:tabs>
          <w:tab w:val="num" w:pos="900"/>
        </w:tabs>
        <w:ind w:left="540" w:hanging="360"/>
      </w:pPr>
      <w:rPr>
        <w:rFonts w:ascii="Symbol" w:hAnsi="Symbol" w:hint="default"/>
      </w:rPr>
    </w:lvl>
    <w:lvl w:ilvl="1" w:tplc="FDD2F298">
      <w:numFmt w:val="decimal"/>
      <w:lvlText w:val=""/>
      <w:lvlJc w:val="left"/>
    </w:lvl>
    <w:lvl w:ilvl="2" w:tplc="492464B4">
      <w:numFmt w:val="decimal"/>
      <w:lvlText w:val=""/>
      <w:lvlJc w:val="left"/>
    </w:lvl>
    <w:lvl w:ilvl="3" w:tplc="DA801910">
      <w:numFmt w:val="decimal"/>
      <w:lvlText w:val=""/>
      <w:lvlJc w:val="left"/>
    </w:lvl>
    <w:lvl w:ilvl="4" w:tplc="E24062AA">
      <w:numFmt w:val="decimal"/>
      <w:lvlText w:val=""/>
      <w:lvlJc w:val="left"/>
    </w:lvl>
    <w:lvl w:ilvl="5" w:tplc="A4420210">
      <w:numFmt w:val="decimal"/>
      <w:lvlText w:val=""/>
      <w:lvlJc w:val="left"/>
    </w:lvl>
    <w:lvl w:ilvl="6" w:tplc="8E0CE71E">
      <w:numFmt w:val="decimal"/>
      <w:lvlText w:val=""/>
      <w:lvlJc w:val="left"/>
    </w:lvl>
    <w:lvl w:ilvl="7" w:tplc="2B6423FC">
      <w:numFmt w:val="decimal"/>
      <w:lvlText w:val=""/>
      <w:lvlJc w:val="left"/>
    </w:lvl>
    <w:lvl w:ilvl="8" w:tplc="D10A05D4">
      <w:numFmt w:val="decimal"/>
      <w:lvlText w:val=""/>
      <w:lvlJc w:val="left"/>
    </w:lvl>
  </w:abstractNum>
  <w:abstractNum w:abstractNumId="6" w15:restartNumberingAfterBreak="0">
    <w:nsid w:val="4E990E87"/>
    <w:multiLevelType w:val="hybridMultilevel"/>
    <w:tmpl w:val="28FA776C"/>
    <w:lvl w:ilvl="0" w:tplc="D7E610D4">
      <w:start w:val="1"/>
      <w:numFmt w:val="bullet"/>
      <w:lvlText w:val=""/>
      <w:lvlJc w:val="left"/>
      <w:pPr>
        <w:tabs>
          <w:tab w:val="num" w:pos="900"/>
        </w:tabs>
        <w:ind w:left="540" w:hanging="360"/>
      </w:pPr>
      <w:rPr>
        <w:rFonts w:ascii="Symbol" w:hAnsi="Symbol" w:hint="default"/>
      </w:rPr>
    </w:lvl>
    <w:lvl w:ilvl="1" w:tplc="F8080F8C">
      <w:numFmt w:val="decimal"/>
      <w:lvlText w:val=""/>
      <w:lvlJc w:val="left"/>
    </w:lvl>
    <w:lvl w:ilvl="2" w:tplc="B02C3EE6">
      <w:numFmt w:val="decimal"/>
      <w:lvlText w:val=""/>
      <w:lvlJc w:val="left"/>
    </w:lvl>
    <w:lvl w:ilvl="3" w:tplc="7F2C56FC">
      <w:numFmt w:val="decimal"/>
      <w:lvlText w:val=""/>
      <w:lvlJc w:val="left"/>
    </w:lvl>
    <w:lvl w:ilvl="4" w:tplc="65AA9DE8">
      <w:numFmt w:val="decimal"/>
      <w:lvlText w:val=""/>
      <w:lvlJc w:val="left"/>
    </w:lvl>
    <w:lvl w:ilvl="5" w:tplc="337ED6BC">
      <w:numFmt w:val="decimal"/>
      <w:lvlText w:val=""/>
      <w:lvlJc w:val="left"/>
    </w:lvl>
    <w:lvl w:ilvl="6" w:tplc="6784B76A">
      <w:numFmt w:val="decimal"/>
      <w:lvlText w:val=""/>
      <w:lvlJc w:val="left"/>
    </w:lvl>
    <w:lvl w:ilvl="7" w:tplc="E924AFDA">
      <w:numFmt w:val="decimal"/>
      <w:lvlText w:val=""/>
      <w:lvlJc w:val="left"/>
    </w:lvl>
    <w:lvl w:ilvl="8" w:tplc="C33A4164">
      <w:numFmt w:val="decimal"/>
      <w:lvlText w:val=""/>
      <w:lvlJc w:val="left"/>
    </w:lvl>
  </w:abstractNum>
  <w:abstractNum w:abstractNumId="7" w15:restartNumberingAfterBreak="0">
    <w:nsid w:val="75A32FAB"/>
    <w:multiLevelType w:val="hybridMultilevel"/>
    <w:tmpl w:val="C1B8339C"/>
    <w:lvl w:ilvl="0" w:tplc="53CAE7C6">
      <w:start w:val="1"/>
      <w:numFmt w:val="bullet"/>
      <w:lvlText w:val=""/>
      <w:lvlJc w:val="left"/>
      <w:pPr>
        <w:tabs>
          <w:tab w:val="num" w:pos="900"/>
        </w:tabs>
        <w:ind w:left="540" w:hanging="360"/>
      </w:pPr>
      <w:rPr>
        <w:rFonts w:ascii="Symbol" w:hAnsi="Symbol" w:hint="default"/>
      </w:rPr>
    </w:lvl>
    <w:lvl w:ilvl="1" w:tplc="2EA6147A">
      <w:numFmt w:val="decimal"/>
      <w:lvlText w:val=""/>
      <w:lvlJc w:val="left"/>
    </w:lvl>
    <w:lvl w:ilvl="2" w:tplc="D042F662">
      <w:numFmt w:val="decimal"/>
      <w:lvlText w:val=""/>
      <w:lvlJc w:val="left"/>
    </w:lvl>
    <w:lvl w:ilvl="3" w:tplc="CC86D8FC">
      <w:numFmt w:val="decimal"/>
      <w:lvlText w:val=""/>
      <w:lvlJc w:val="left"/>
    </w:lvl>
    <w:lvl w:ilvl="4" w:tplc="C32C25EA">
      <w:numFmt w:val="decimal"/>
      <w:lvlText w:val=""/>
      <w:lvlJc w:val="left"/>
    </w:lvl>
    <w:lvl w:ilvl="5" w:tplc="0AE8A318">
      <w:numFmt w:val="decimal"/>
      <w:lvlText w:val=""/>
      <w:lvlJc w:val="left"/>
    </w:lvl>
    <w:lvl w:ilvl="6" w:tplc="51A6D230">
      <w:numFmt w:val="decimal"/>
      <w:lvlText w:val=""/>
      <w:lvlJc w:val="left"/>
    </w:lvl>
    <w:lvl w:ilvl="7" w:tplc="34585BFC">
      <w:numFmt w:val="decimal"/>
      <w:lvlText w:val=""/>
      <w:lvlJc w:val="left"/>
    </w:lvl>
    <w:lvl w:ilvl="8" w:tplc="550038B4">
      <w:numFmt w:val="decimal"/>
      <w:lvlText w:val=""/>
      <w:lvlJc w:val="left"/>
    </w:lvl>
  </w:abstractNum>
  <w:num w:numId="1" w16cid:durableId="1311862936">
    <w:abstractNumId w:val="4"/>
  </w:num>
  <w:num w:numId="2" w16cid:durableId="598566835">
    <w:abstractNumId w:val="1"/>
  </w:num>
  <w:num w:numId="3" w16cid:durableId="1286623800">
    <w:abstractNumId w:val="0"/>
  </w:num>
  <w:num w:numId="4" w16cid:durableId="863636274">
    <w:abstractNumId w:val="5"/>
  </w:num>
  <w:num w:numId="5" w16cid:durableId="212549652">
    <w:abstractNumId w:val="3"/>
  </w:num>
  <w:num w:numId="6" w16cid:durableId="147670879">
    <w:abstractNumId w:val="6"/>
  </w:num>
  <w:num w:numId="7" w16cid:durableId="2055886050">
    <w:abstractNumId w:val="2"/>
  </w:num>
  <w:num w:numId="8" w16cid:durableId="16737256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21B"/>
    <w:rsid w:val="00045043"/>
    <w:rsid w:val="003E410F"/>
    <w:rsid w:val="0074021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0EB08"/>
  <w15:docId w15:val="{91D10713-0162-4D97-8DBC-606BEE6B6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1626</Words>
  <Characters>9269</Characters>
  <Application>Microsoft Office Word</Application>
  <DocSecurity>0</DocSecurity>
  <Lines>77</Lines>
  <Paragraphs>21</Paragraphs>
  <ScaleCrop>false</ScaleCrop>
  <Company/>
  <LinksUpToDate>false</LinksUpToDate>
  <CharactersWithSpaces>10874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shanki puwal</cp:lastModifiedBy>
  <cp:revision>2</cp:revision>
  <dcterms:created xsi:type="dcterms:W3CDTF">2026-05-10T01:47:00Z</dcterms:created>
  <dcterms:modified xsi:type="dcterms:W3CDTF">2026-05-10T01:50:00Z</dcterms:modified>
</cp:coreProperties>
</file>