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2"/>
          <w:szCs w:val="52"/>
        </w:rPr>
        <w:t xml:space="preserve">Jyotish AI</w:t>
      </w:r>
    </w:p>
    <w:p>
      <w:pPr>
        <w:spacing w:after="60"/>
      </w:pPr>
      <w:r>
        <w:rPr>
          <w:color w:val="6B7280"/>
          <w:sz w:val="24"/>
          <w:szCs w:val="24"/>
        </w:rPr>
        <w:t xml:space="preserve">Product Requirements Document — v1.0</w:t>
      </w:r>
    </w:p>
    <w:p>
      <w:pPr>
        <w:spacing w:after="240"/>
      </w:pPr>
      <w:r>
        <w:rPr>
          <w:i/>
          <w:iCs/>
          <w:color w:val="6B7280"/>
          <w:sz w:val="20"/>
          <w:szCs w:val="20"/>
        </w:rPr>
        <w:t xml:space="preserve">India-first · Vedic Astrology · AI Interpretation Layer · Consumer App</w:t>
      </w:r>
    </w:p>
    <w:p>
      <w:pPr>
        <w:pBdr>
          <w:bottom w:val="single" w:color="E5E7EB" w:sz="4"/>
        </w:pBdr>
        <w:spacing w:after="200" w:before="100"/>
      </w:pPr>
      <w:r>
        <w:t xml:space="preserve"/>
      </w:r>
    </w:p>
    <w:p>
      <w:pPr>
        <w:pStyle w:val="Heading2"/>
        <w:spacing w:after="120" w:before="280"/>
      </w:pPr>
      <w:r>
        <w:t xml:space="preserve">Document overview</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tcMar>
              <w:top w:type="dxa" w:w="100"/>
              <w:left w:type="dxa" w:w="160"/>
              <w:bottom w:type="dxa" w:w="100"/>
              <w:right w:type="dxa" w:w="160"/>
            </w:tcMar>
          </w:tcPr>
          <w:p>
            <w:pPr>
              <w:spacing w:after="0"/>
            </w:pPr>
            <w:r>
              <w:rPr>
                <w:color w:val="1F2937"/>
                <w:sz w:val="20"/>
                <w:szCs w:val="20"/>
              </w:rPr>
              <w:t xml:space="preserve">Platform</w:t>
            </w:r>
          </w:p>
        </w:tc>
        <w:tc>
          <w:tcPr>
            <w:tcW w:type="dxa" w:w="4620"/>
            <w:tcMar>
              <w:top w:type="dxa" w:w="100"/>
              <w:left w:type="dxa" w:w="160"/>
              <w:bottom w:type="dxa" w:w="100"/>
              <w:right w:type="dxa" w:w="160"/>
            </w:tcMar>
          </w:tcPr>
          <w:p>
            <w:pPr>
              <w:spacing w:after="0"/>
            </w:pPr>
            <w:r>
              <w:rPr>
                <w:color w:val="1F2937"/>
                <w:sz w:val="20"/>
                <w:szCs w:val="20"/>
              </w:rPr>
              <w:t xml:space="preserve">Mobile (iOS + Android) — React Native</w:t>
            </w:r>
          </w:p>
        </w:tc>
      </w:tr>
      <w:tr>
        <w:tc>
          <w:tcPr>
            <w:tcW w:type="dxa" w:w="4620"/>
            <w:tcMar>
              <w:top w:type="dxa" w:w="100"/>
              <w:left w:type="dxa" w:w="160"/>
              <w:bottom w:type="dxa" w:w="100"/>
              <w:right w:type="dxa" w:w="160"/>
            </w:tcMar>
          </w:tcPr>
          <w:p>
            <w:pPr>
              <w:spacing w:after="0"/>
            </w:pPr>
            <w:r>
              <w:rPr>
                <w:color w:val="1F2937"/>
                <w:sz w:val="20"/>
                <w:szCs w:val="20"/>
              </w:rPr>
              <w:t xml:space="preserve">Target market</w:t>
            </w:r>
          </w:p>
        </w:tc>
        <w:tc>
          <w:tcPr>
            <w:tcW w:type="dxa" w:w="4620"/>
            <w:tcMar>
              <w:top w:type="dxa" w:w="100"/>
              <w:left w:type="dxa" w:w="160"/>
              <w:bottom w:type="dxa" w:w="100"/>
              <w:right w:type="dxa" w:w="160"/>
            </w:tcMar>
          </w:tcPr>
          <w:p>
            <w:pPr>
              <w:spacing w:after="0"/>
            </w:pPr>
            <w:r>
              <w:rPr>
                <w:color w:val="1F2937"/>
                <w:sz w:val="20"/>
                <w:szCs w:val="20"/>
              </w:rPr>
              <w:t xml:space="preserve">India-first; English + Hindi + Hinglish output</w:t>
            </w:r>
          </w:p>
        </w:tc>
      </w:tr>
      <w:tr>
        <w:tc>
          <w:tcPr>
            <w:tcW w:type="dxa" w:w="4620"/>
            <w:tcMar>
              <w:top w:type="dxa" w:w="100"/>
              <w:left w:type="dxa" w:w="160"/>
              <w:bottom w:type="dxa" w:w="100"/>
              <w:right w:type="dxa" w:w="160"/>
            </w:tcMar>
          </w:tcPr>
          <w:p>
            <w:pPr>
              <w:spacing w:after="0"/>
            </w:pPr>
            <w:r>
              <w:rPr>
                <w:color w:val="1F2937"/>
                <w:sz w:val="20"/>
                <w:szCs w:val="20"/>
              </w:rPr>
              <w:t xml:space="preserve">Astrology system</w:t>
            </w:r>
          </w:p>
        </w:tc>
        <w:tc>
          <w:tcPr>
            <w:tcW w:type="dxa" w:w="4620"/>
            <w:tcMar>
              <w:top w:type="dxa" w:w="100"/>
              <w:left w:type="dxa" w:w="160"/>
              <w:bottom w:type="dxa" w:w="100"/>
              <w:right w:type="dxa" w:w="160"/>
            </w:tcMar>
          </w:tcPr>
          <w:p>
            <w:pPr>
              <w:spacing w:after="0"/>
            </w:pPr>
            <w:r>
              <w:rPr>
                <w:color w:val="1F2937"/>
                <w:sz w:val="20"/>
                <w:szCs w:val="20"/>
              </w:rPr>
              <w:t xml:space="preserve">Vedic (Jyotish) — Lahiri ayanamsa</w:t>
            </w:r>
          </w:p>
        </w:tc>
      </w:tr>
      <w:tr>
        <w:tc>
          <w:tcPr>
            <w:tcW w:type="dxa" w:w="4620"/>
            <w:tcMar>
              <w:top w:type="dxa" w:w="100"/>
              <w:left w:type="dxa" w:w="160"/>
              <w:bottom w:type="dxa" w:w="100"/>
              <w:right w:type="dxa" w:w="160"/>
            </w:tcMar>
          </w:tcPr>
          <w:p>
            <w:pPr>
              <w:spacing w:after="0"/>
            </w:pPr>
            <w:r>
              <w:rPr>
                <w:color w:val="1F2937"/>
                <w:sz w:val="20"/>
                <w:szCs w:val="20"/>
              </w:rPr>
              <w:t xml:space="preserve">Monetization</w:t>
            </w:r>
          </w:p>
        </w:tc>
        <w:tc>
          <w:tcPr>
            <w:tcW w:type="dxa" w:w="4620"/>
            <w:tcMar>
              <w:top w:type="dxa" w:w="100"/>
              <w:left w:type="dxa" w:w="160"/>
              <w:bottom w:type="dxa" w:w="100"/>
              <w:right w:type="dxa" w:w="160"/>
            </w:tcMar>
          </w:tcPr>
          <w:p>
            <w:pPr>
              <w:spacing w:after="0"/>
            </w:pPr>
            <w:r>
              <w:rPr>
                <w:color w:val="1F2937"/>
                <w:sz w:val="20"/>
                <w:szCs w:val="20"/>
              </w:rPr>
              <w:t xml:space="preserve">Freemium subscription — ₹99–499/mo tiers</w:t>
            </w:r>
          </w:p>
        </w:tc>
      </w:tr>
      <w:tr>
        <w:tc>
          <w:tcPr>
            <w:tcW w:type="dxa" w:w="4620"/>
            <w:tcMar>
              <w:top w:type="dxa" w:w="100"/>
              <w:left w:type="dxa" w:w="160"/>
              <w:bottom w:type="dxa" w:w="100"/>
              <w:right w:type="dxa" w:w="160"/>
            </w:tcMar>
          </w:tcPr>
          <w:p>
            <w:pPr>
              <w:spacing w:after="0"/>
            </w:pPr>
            <w:r>
              <w:rPr>
                <w:color w:val="1F2937"/>
                <w:sz w:val="20"/>
                <w:szCs w:val="20"/>
              </w:rPr>
              <w:t xml:space="preserve">Phase scope</w:t>
            </w:r>
          </w:p>
        </w:tc>
        <w:tc>
          <w:tcPr>
            <w:tcW w:type="dxa" w:w="4620"/>
            <w:tcMar>
              <w:top w:type="dxa" w:w="100"/>
              <w:left w:type="dxa" w:w="160"/>
              <w:bottom w:type="dxa" w:w="100"/>
              <w:right w:type="dxa" w:w="160"/>
            </w:tcMar>
          </w:tcPr>
          <w:p>
            <w:pPr>
              <w:spacing w:after="0"/>
            </w:pPr>
            <w:r>
              <w:rPr>
                <w:color w:val="1F2937"/>
                <w:sz w:val="20"/>
                <w:szCs w:val="20"/>
              </w:rPr>
              <w:t xml:space="preserve">Phase 1 (MVP) — 3 months to launch</w:t>
            </w:r>
          </w:p>
        </w:tc>
      </w:tr>
      <w:tr>
        <w:tc>
          <w:tcPr>
            <w:tcW w:type="dxa" w:w="4620"/>
            <w:tcMar>
              <w:top w:type="dxa" w:w="100"/>
              <w:left w:type="dxa" w:w="160"/>
              <w:bottom w:type="dxa" w:w="100"/>
              <w:right w:type="dxa" w:w="160"/>
            </w:tcMar>
          </w:tcPr>
          <w:p>
            <w:pPr>
              <w:spacing w:after="0"/>
            </w:pPr>
            <w:r>
              <w:rPr>
                <w:color w:val="1F2937"/>
                <w:sz w:val="20"/>
                <w:szCs w:val="20"/>
              </w:rPr>
              <w:t xml:space="preserve">Builder target</w:t>
            </w:r>
          </w:p>
        </w:tc>
        <w:tc>
          <w:tcPr>
            <w:tcW w:type="dxa" w:w="4620"/>
            <w:tcMar>
              <w:top w:type="dxa" w:w="100"/>
              <w:left w:type="dxa" w:w="160"/>
              <w:bottom w:type="dxa" w:w="100"/>
              <w:right w:type="dxa" w:w="160"/>
            </w:tcMar>
          </w:tcPr>
          <w:p>
            <w:pPr>
              <w:spacing w:after="0"/>
            </w:pPr>
            <w:r>
              <w:rPr>
                <w:color w:val="1F2937"/>
                <w:sz w:val="20"/>
                <w:szCs w:val="20"/>
              </w:rPr>
              <w:t xml:space="preserve">AI builder (Cursor / Bolt / Lovable)</w:t>
            </w:r>
          </w:p>
        </w:tc>
      </w:tr>
    </w:tbl>
    <w:p>
      <w:pPr>
        <w:spacing w:after="240"/>
      </w:pPr>
      <w:r>
        <w:t xml:space="preserve"/>
      </w:r>
    </w:p>
    <w:p>
      <w:pPr>
        <w:pStyle w:val="Heading2"/>
        <w:spacing w:after="120" w:before="280"/>
      </w:pPr>
      <w:r>
        <w:t xml:space="preserve">Problem statement</w:t>
      </w:r>
    </w:p>
    <w:p>
      <w:pPr>
        <w:spacing w:after="140"/>
      </w:pPr>
      <w:r>
        <w:rPr>
          <w:color w:val="1F2937"/>
          <w:sz w:val="22"/>
          <w:szCs w:val="22"/>
        </w:rPr>
        <w:t xml:space="preserve">Existing Vedic astrology apps in India fall into two broken camps: generic content apps (Astrosage, Daily Horoscope) that serve identical sun-sign copy to millions of users, and marketplace apps (Astrotalk, Guruji) where quality is inconsistent, dark patterns are rampant, and the experience is built around converting users to paid calls.</w:t>
      </w:r>
    </w:p>
    <w:p>
      <w:pPr>
        <w:spacing w:after="140"/>
      </w:pPr>
      <w:r>
        <w:rPr>
          <w:color w:val="1F2937"/>
          <w:sz w:val="22"/>
          <w:szCs w:val="22"/>
        </w:rPr>
        <w:t xml:space="preserve">Neither camp provides what a thoughtful user actually wants: a personalised, accurate, and readable interpretation of their specific birth chart — updated as planetary transits and Dasha periods change.</w:t>
      </w:r>
    </w:p>
    <w:p>
      <w:pPr>
        <w:spacing w:after="10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240"/>
      </w:tblGrid>
      <w:tr>
        <w:tc>
          <w:tcPr>
            <w:tcW w:type="dxa" w:w="9240"/>
            <w:shd w:fill="FEF3C7" w:val="clear"/>
            <w:tcMar>
              <w:top w:type="dxa" w:w="160"/>
              <w:left w:type="dxa" w:w="200"/>
              <w:bottom w:type="dxa" w:w="160"/>
              <w:right w:type="dxa" w:w="200"/>
            </w:tcMar>
          </w:tcPr>
          <w:p>
            <w:pPr>
              <w:spacing w:after="80"/>
            </w:pPr>
            <w:r>
              <w:rPr>
                <w:b/>
                <w:bCs/>
                <w:color w:val="C2410C"/>
                <w:sz w:val="20"/>
                <w:szCs w:val="20"/>
              </w:rPr>
              <w:t xml:space="preserve">Core insight</w:t>
            </w:r>
          </w:p>
          <w:p>
            <w:pPr>
              <w:spacing w:after="60"/>
            </w:pPr>
            <w:r>
              <w:rPr>
                <w:color w:val="1F2937"/>
                <w:sz w:val="20"/>
                <w:szCs w:val="20"/>
              </w:rPr>
              <w:t xml:space="preserve">Vedic astrology is highly individualised by design (9 planets × 12 houses × 27 Nakshatras × Dasha periods). No two charts are identical. The product opportunity is to make that specificity accessible via AI — accurate calculations + an LLM layer trained on canonical Vedic texts.</w:t>
            </w:r>
          </w:p>
        </w:tc>
      </w:tr>
    </w:tbl>
    <w:p>
      <w:pPr>
        <w:spacing w:after="240"/>
      </w:pPr>
      <w:r>
        <w:t xml:space="preserve"/>
      </w:r>
    </w:p>
    <w:p>
      <w:pPr>
        <w:pStyle w:val="Heading2"/>
        <w:spacing w:after="120" w:before="280"/>
      </w:pPr>
      <w:r>
        <w:t xml:space="preserve">Product goals (Phase 1)</w:t>
      </w:r>
    </w:p>
    <w:p>
      <w:pPr>
        <w:pStyle w:val="ListParagraph"/>
        <w:numPr>
          <w:ilvl w:val="0"/>
          <w:numId w:val="1"/>
        </w:numPr>
        <w:spacing w:after="80"/>
      </w:pPr>
      <w:r>
        <w:rPr>
          <w:color w:val="1F2937"/>
          <w:sz w:val="21"/>
          <w:szCs w:val="21"/>
        </w:rPr>
        <w:t xml:space="preserve">Generate accurate Vedic birth charts using Swiss Ephemeris with Lahiri ayanamsa</w:t>
      </w:r>
    </w:p>
    <w:p>
      <w:pPr>
        <w:pStyle w:val="ListParagraph"/>
        <w:numPr>
          <w:ilvl w:val="0"/>
          <w:numId w:val="1"/>
        </w:numPr>
        <w:spacing w:after="80"/>
      </w:pPr>
      <w:r>
        <w:rPr>
          <w:color w:val="1F2937"/>
          <w:sz w:val="21"/>
          <w:szCs w:val="21"/>
        </w:rPr>
        <w:t xml:space="preserve">Provide AI-generated, personalised interpretations in plain English and Hindi</w:t>
      </w:r>
    </w:p>
    <w:p>
      <w:pPr>
        <w:pStyle w:val="ListParagraph"/>
        <w:numPr>
          <w:ilvl w:val="0"/>
          <w:numId w:val="1"/>
        </w:numPr>
        <w:spacing w:after="80"/>
      </w:pPr>
      <w:r>
        <w:rPr>
          <w:color w:val="1F2937"/>
          <w:sz w:val="21"/>
          <w:szCs w:val="21"/>
        </w:rPr>
        <w:t xml:space="preserve">Deliver a freemium subscription model with a clear free → paid conversion funnel</w:t>
      </w:r>
    </w:p>
    <w:p>
      <w:pPr>
        <w:pStyle w:val="ListParagraph"/>
        <w:numPr>
          <w:ilvl w:val="0"/>
          <w:numId w:val="1"/>
        </w:numPr>
        <w:spacing w:after="80"/>
      </w:pPr>
      <w:r>
        <w:rPr>
          <w:color w:val="1F2937"/>
          <w:sz w:val="21"/>
          <w:szCs w:val="21"/>
        </w:rPr>
        <w:t xml:space="preserve">Reach 500K MAU within 12 months of launch</w:t>
      </w:r>
    </w:p>
    <w:p>
      <w:pPr>
        <w:pStyle w:val="ListParagraph"/>
        <w:numPr>
          <w:ilvl w:val="0"/>
          <w:numId w:val="1"/>
        </w:numPr>
        <w:spacing w:after="80"/>
      </w:pPr>
      <w:r>
        <w:rPr>
          <w:color w:val="1F2937"/>
          <w:sz w:val="21"/>
          <w:szCs w:val="21"/>
        </w:rPr>
        <w:t xml:space="preserve">Achieve 2–3% paid conversion rate within 6 months</w:t>
      </w:r>
    </w:p>
    <w:p>
      <w:pPr>
        <w:spacing w:after="100"/>
      </w:pPr>
      <w:r>
        <w:t xml:space="preserve"/>
      </w:r>
    </w:p>
    <w:p>
      <w:pPr>
        <w:pStyle w:val="Heading2"/>
        <w:spacing w:after="120" w:before="280"/>
      </w:pPr>
      <w:r>
        <w:t xml:space="preserve">Non-goals (Phase 1)</w:t>
      </w:r>
    </w:p>
    <w:p>
      <w:pPr>
        <w:pStyle w:val="ListParagraph"/>
        <w:numPr>
          <w:ilvl w:val="0"/>
          <w:numId w:val="1"/>
        </w:numPr>
        <w:spacing w:after="80"/>
      </w:pPr>
      <w:r>
        <w:rPr>
          <w:color w:val="1F2937"/>
          <w:sz w:val="21"/>
          <w:szCs w:val="21"/>
        </w:rPr>
        <w:t xml:space="preserve">No human astrologer marketplace in Phase 1</w:t>
      </w:r>
    </w:p>
    <w:p>
      <w:pPr>
        <w:pStyle w:val="ListParagraph"/>
        <w:numPr>
          <w:ilvl w:val="0"/>
          <w:numId w:val="1"/>
        </w:numPr>
        <w:spacing w:after="80"/>
      </w:pPr>
      <w:r>
        <w:rPr>
          <w:color w:val="1F2937"/>
          <w:sz w:val="21"/>
          <w:szCs w:val="21"/>
        </w:rPr>
        <w:t xml:space="preserve">No Western astrology or Tarot — Vedic only</w:t>
      </w:r>
    </w:p>
    <w:p>
      <w:pPr>
        <w:pStyle w:val="ListParagraph"/>
        <w:numPr>
          <w:ilvl w:val="0"/>
          <w:numId w:val="1"/>
        </w:numPr>
        <w:spacing w:after="80"/>
      </w:pPr>
      <w:r>
        <w:rPr>
          <w:color w:val="1F2937"/>
          <w:sz w:val="21"/>
          <w:szCs w:val="21"/>
        </w:rPr>
        <w:t xml:space="preserve">No social / community features</w:t>
      </w:r>
    </w:p>
    <w:p>
      <w:pPr>
        <w:pStyle w:val="ListParagraph"/>
        <w:numPr>
          <w:ilvl w:val="0"/>
          <w:numId w:val="1"/>
        </w:numPr>
        <w:spacing w:after="80"/>
      </w:pPr>
      <w:r>
        <w:rPr>
          <w:color w:val="1F2937"/>
          <w:sz w:val="21"/>
          <w:szCs w:val="21"/>
        </w:rPr>
        <w:t xml:space="preserve">No web app — mobile only</w:t>
      </w:r>
    </w:p>
    <w:p>
      <w:pPr>
        <w:spacing w:after="240"/>
      </w:pPr>
      <w:r>
        <w:t xml:space="preserve"/>
      </w:r>
    </w:p>
    <w:p>
      <w:pPr>
        <w:pBdr>
          <w:bottom w:val="single" w:color="E5E7EB" w:sz="4"/>
        </w:pBdr>
        <w:spacing w:after="200" w:before="100"/>
      </w:pPr>
      <w:r>
        <w:t xml:space="preserve"/>
      </w:r>
    </w:p>
    <w:p>
      <w:pPr>
        <w:pStyle w:val="Heading1"/>
        <w:spacing w:after="120" w:before="400"/>
      </w:pPr>
      <w:r>
        <w:t xml:space="preserve">User segments</w:t>
      </w:r>
    </w:p>
    <w:p>
      <w:pPr>
        <w:spacing w:after="80"/>
      </w:pPr>
      <w:r>
        <w:t xml:space="preserve"/>
      </w:r>
    </w:p>
    <w:p>
      <w:pPr>
        <w:pStyle w:val="Heading2"/>
        <w:spacing w:after="120" w:before="280"/>
      </w:pPr>
      <w:r>
        <w:t xml:space="preserve">Primary — Life decision seekers (35% of TAM)</w:t>
      </w:r>
    </w:p>
    <w:p>
      <w:pPr>
        <w:spacing w:after="80"/>
      </w:pPr>
      <w:r>
        <w:rPr>
          <w:b/>
          <w:bCs/>
          <w:color w:val="1F2937"/>
          <w:sz w:val="21"/>
          <w:szCs w:val="21"/>
        </w:rPr>
        <w:t xml:space="preserve">Age: </w:t>
      </w:r>
      <w:r>
        <w:rPr>
          <w:color w:val="6B7280"/>
          <w:sz w:val="21"/>
          <w:szCs w:val="21"/>
        </w:rPr>
        <w:t xml:space="preserve">25–45</w:t>
      </w:r>
    </w:p>
    <w:p>
      <w:pPr>
        <w:spacing w:after="80"/>
      </w:pPr>
      <w:r>
        <w:rPr>
          <w:b/>
          <w:bCs/>
          <w:color w:val="1F2937"/>
          <w:sz w:val="21"/>
          <w:szCs w:val="21"/>
        </w:rPr>
        <w:t xml:space="preserve">Language: </w:t>
      </w:r>
      <w:r>
        <w:rPr>
          <w:color w:val="6B7280"/>
          <w:sz w:val="21"/>
          <w:szCs w:val="21"/>
        </w:rPr>
        <w:t xml:space="preserve">Hindi + English (Hinglish)</w:t>
      </w:r>
    </w:p>
    <w:p>
      <w:pPr>
        <w:spacing w:after="80"/>
      </w:pPr>
      <w:r>
        <w:rPr>
          <w:b/>
          <w:bCs/>
          <w:color w:val="1F2937"/>
          <w:sz w:val="21"/>
          <w:szCs w:val="21"/>
        </w:rPr>
        <w:t xml:space="preserve">Intent: </w:t>
      </w:r>
      <w:r>
        <w:rPr>
          <w:color w:val="6B7280"/>
          <w:sz w:val="21"/>
          <w:szCs w:val="21"/>
        </w:rPr>
        <w:t xml:space="preserve">Marriage timing, job change, property purchase, health concerns</w:t>
      </w:r>
    </w:p>
    <w:p>
      <w:pPr>
        <w:spacing w:after="80"/>
      </w:pPr>
      <w:r>
        <w:rPr>
          <w:b/>
          <w:bCs/>
          <w:color w:val="1F2937"/>
          <w:sz w:val="21"/>
          <w:szCs w:val="21"/>
        </w:rPr>
        <w:t xml:space="preserve">Behaviour: </w:t>
      </w:r>
      <w:r>
        <w:rPr>
          <w:color w:val="6B7280"/>
          <w:sz w:val="21"/>
          <w:szCs w:val="21"/>
        </w:rPr>
        <w:t xml:space="preserve">High urgency, willing to pay, likely to return when a new life event occurs</w:t>
      </w:r>
    </w:p>
    <w:p>
      <w:pPr>
        <w:spacing w:after="80"/>
      </w:pPr>
      <w:r>
        <w:rPr>
          <w:b/>
          <w:bCs/>
          <w:color w:val="1F2937"/>
          <w:sz w:val="21"/>
          <w:szCs w:val="21"/>
        </w:rPr>
        <w:t xml:space="preserve">Current behaviour: </w:t>
      </w:r>
      <w:r>
        <w:rPr>
          <w:color w:val="6B7280"/>
          <w:sz w:val="21"/>
          <w:szCs w:val="21"/>
        </w:rPr>
        <w:t xml:space="preserve">Paying ₹15–100/min on Astrotalk; frustrated by inconsistent astrologer quality</w:t>
      </w:r>
    </w:p>
    <w:p>
      <w:pPr>
        <w:spacing w:after="120"/>
      </w:pPr>
      <w:r>
        <w:t xml:space="preserve"/>
      </w:r>
    </w:p>
    <w:p>
      <w:pPr>
        <w:pStyle w:val="Heading2"/>
        <w:spacing w:after="120" w:before="280"/>
      </w:pPr>
      <w:r>
        <w:t xml:space="preserve">Secondary — Kundli / compatibility seekers (22% of TAM)</w:t>
      </w:r>
    </w:p>
    <w:p>
      <w:pPr>
        <w:spacing w:after="80"/>
      </w:pPr>
      <w:r>
        <w:rPr>
          <w:b/>
          <w:bCs/>
          <w:color w:val="1F2937"/>
          <w:sz w:val="21"/>
          <w:szCs w:val="21"/>
        </w:rPr>
        <w:t xml:space="preserve">Age: </w:t>
      </w:r>
      <w:r>
        <w:rPr>
          <w:color w:val="6B7280"/>
          <w:sz w:val="21"/>
          <w:szCs w:val="21"/>
        </w:rPr>
        <w:t xml:space="preserve">22–35</w:t>
      </w:r>
    </w:p>
    <w:p>
      <w:pPr>
        <w:spacing w:after="80"/>
      </w:pPr>
      <w:r>
        <w:rPr>
          <w:b/>
          <w:bCs/>
          <w:color w:val="1F2937"/>
          <w:sz w:val="21"/>
          <w:szCs w:val="21"/>
        </w:rPr>
        <w:t xml:space="preserve">Intent: </w:t>
      </w:r>
      <w:r>
        <w:rPr>
          <w:color w:val="6B7280"/>
          <w:sz w:val="21"/>
          <w:szCs w:val="21"/>
        </w:rPr>
        <w:t xml:space="preserve">Pre-marriage Kundli matching (Ashtakoota + Mangal dosha check)</w:t>
      </w:r>
    </w:p>
    <w:p>
      <w:pPr>
        <w:spacing w:after="80"/>
      </w:pPr>
      <w:r>
        <w:rPr>
          <w:b/>
          <w:bCs/>
          <w:color w:val="1F2937"/>
          <w:sz w:val="21"/>
          <w:szCs w:val="21"/>
        </w:rPr>
        <w:t xml:space="preserve">Behaviour: </w:t>
      </w:r>
      <w:r>
        <w:rPr>
          <w:color w:val="6B7280"/>
          <w:sz w:val="21"/>
          <w:szCs w:val="21"/>
        </w:rPr>
        <w:t xml:space="preserve">Often one-time high-intent visit; refer family members; share results</w:t>
      </w:r>
    </w:p>
    <w:p>
      <w:pPr>
        <w:spacing w:after="80"/>
      </w:pPr>
      <w:r>
        <w:rPr>
          <w:b/>
          <w:bCs/>
          <w:color w:val="1F2937"/>
          <w:sz w:val="21"/>
          <w:szCs w:val="21"/>
        </w:rPr>
        <w:t xml:space="preserve">Current behaviour: </w:t>
      </w:r>
      <w:r>
        <w:rPr>
          <w:color w:val="6B7280"/>
          <w:sz w:val="21"/>
          <w:szCs w:val="21"/>
        </w:rPr>
        <w:t xml:space="preserve">Using Astrosage free tools; frustrated by ad overload and outdated UI</w:t>
      </w:r>
    </w:p>
    <w:p>
      <w:pPr>
        <w:spacing w:after="120"/>
      </w:pPr>
      <w:r>
        <w:t xml:space="preserve"/>
      </w:r>
    </w:p>
    <w:p>
      <w:pPr>
        <w:pStyle w:val="Heading2"/>
        <w:spacing w:after="120" w:before="280"/>
      </w:pPr>
      <w:r>
        <w:t xml:space="preserve">Tertiary — Urban spiritual self-explorers (15% of TAM)</w:t>
      </w:r>
    </w:p>
    <w:p>
      <w:pPr>
        <w:spacing w:after="80"/>
      </w:pPr>
      <w:r>
        <w:rPr>
          <w:b/>
          <w:bCs/>
          <w:color w:val="1F2937"/>
          <w:sz w:val="21"/>
          <w:szCs w:val="21"/>
        </w:rPr>
        <w:t xml:space="preserve">Age: </w:t>
      </w:r>
      <w:r>
        <w:rPr>
          <w:color w:val="6B7280"/>
          <w:sz w:val="21"/>
          <w:szCs w:val="21"/>
        </w:rPr>
        <w:t xml:space="preserve">18–30</w:t>
      </w:r>
    </w:p>
    <w:p>
      <w:pPr>
        <w:spacing w:after="80"/>
      </w:pPr>
      <w:r>
        <w:rPr>
          <w:b/>
          <w:bCs/>
          <w:color w:val="1F2937"/>
          <w:sz w:val="21"/>
          <w:szCs w:val="21"/>
        </w:rPr>
        <w:t xml:space="preserve">Language: </w:t>
      </w:r>
      <w:r>
        <w:rPr>
          <w:color w:val="6B7280"/>
          <w:sz w:val="21"/>
          <w:szCs w:val="21"/>
        </w:rPr>
        <w:t xml:space="preserve">English-first</w:t>
      </w:r>
    </w:p>
    <w:p>
      <w:pPr>
        <w:spacing w:after="80"/>
      </w:pPr>
      <w:r>
        <w:rPr>
          <w:b/>
          <w:bCs/>
          <w:color w:val="1F2937"/>
          <w:sz w:val="21"/>
          <w:szCs w:val="21"/>
        </w:rPr>
        <w:t xml:space="preserve">Intent: </w:t>
      </w:r>
      <w:r>
        <w:rPr>
          <w:color w:val="6B7280"/>
          <w:sz w:val="21"/>
          <w:szCs w:val="21"/>
        </w:rPr>
        <w:t xml:space="preserve">Personality understanding, self-reflection, social sharing</w:t>
      </w:r>
    </w:p>
    <w:p>
      <w:pPr>
        <w:spacing w:after="80"/>
      </w:pPr>
      <w:r>
        <w:rPr>
          <w:b/>
          <w:bCs/>
          <w:color w:val="1F2937"/>
          <w:sz w:val="21"/>
          <w:szCs w:val="21"/>
        </w:rPr>
        <w:t xml:space="preserve">Current behaviour: </w:t>
      </w:r>
      <w:r>
        <w:rPr>
          <w:color w:val="6B7280"/>
          <w:sz w:val="21"/>
          <w:szCs w:val="21"/>
        </w:rPr>
        <w:t xml:space="preserve">Using Co-Star (Western); interested in Vedic but no good product exists</w:t>
      </w:r>
    </w:p>
    <w:p>
      <w:pPr>
        <w:spacing w:after="240"/>
      </w:pPr>
      <w:r>
        <w:t xml:space="preserve"/>
      </w:r>
    </w:p>
    <w:p>
      <w:pPr>
        <w:pBdr>
          <w:bottom w:val="single" w:color="E5E7EB" w:sz="4"/>
        </w:pBdr>
        <w:spacing w:after="200" w:before="100"/>
      </w:pPr>
      <w:r>
        <w:t xml:space="preserve"/>
      </w:r>
    </w:p>
    <w:p>
      <w:pPr>
        <w:pStyle w:val="Heading1"/>
        <w:spacing w:after="120" w:before="400"/>
      </w:pPr>
      <w:r>
        <w:t xml:space="preserve">Technical architecture</w:t>
      </w:r>
    </w:p>
    <w:p>
      <w:pPr>
        <w:spacing w:after="80"/>
      </w:pPr>
      <w:r>
        <w:t xml:space="preserve"/>
      </w:r>
    </w:p>
    <w:p>
      <w:pPr>
        <w:pStyle w:val="Heading2"/>
        <w:spacing w:after="120" w:before="280"/>
      </w:pPr>
      <w:r>
        <w:t xml:space="preserve">Layer 1 — Calculation engine (build once, never touch)</w:t>
      </w:r>
    </w:p>
    <w:p>
      <w:pPr>
        <w:spacing w:after="140"/>
      </w:pPr>
      <w:r>
        <w:rPr>
          <w:color w:val="1F2937"/>
          <w:sz w:val="22"/>
          <w:szCs w:val="22"/>
        </w:rPr>
        <w:t xml:space="preserve">This is math, not AI. Must be 100% accurate — a single wrong planetary position screenshot will destroy credibility.</w:t>
      </w:r>
    </w:p>
    <w:p>
      <w:pPr>
        <w:pStyle w:val="ListParagraph"/>
        <w:numPr>
          <w:ilvl w:val="0"/>
          <w:numId w:val="1"/>
        </w:numPr>
        <w:spacing w:after="80"/>
      </w:pPr>
      <w:r>
        <w:rPr>
          <w:color w:val="1F2937"/>
          <w:sz w:val="21"/>
          <w:szCs w:val="21"/>
        </w:rPr>
        <w:t xml:space="preserve">Library: Swiss Ephemeris via pyswisseph (Python) or swisseph (Node.js)</w:t>
      </w:r>
    </w:p>
    <w:p>
      <w:pPr>
        <w:pStyle w:val="ListParagraph"/>
        <w:numPr>
          <w:ilvl w:val="0"/>
          <w:numId w:val="1"/>
        </w:numPr>
        <w:spacing w:after="80"/>
      </w:pPr>
      <w:r>
        <w:rPr>
          <w:color w:val="1F2937"/>
          <w:sz w:val="21"/>
          <w:szCs w:val="21"/>
        </w:rPr>
        <w:t xml:space="preserve">Ayanamsa: Lahiri (SE_SIDM_LAHIRI) — government standard; expose toggle for power users</w:t>
      </w:r>
    </w:p>
    <w:p>
      <w:pPr>
        <w:pStyle w:val="ListParagraph"/>
        <w:numPr>
          <w:ilvl w:val="0"/>
          <w:numId w:val="1"/>
        </w:numPr>
        <w:spacing w:after="80"/>
      </w:pPr>
      <w:r>
        <w:rPr>
          <w:color w:val="1F2937"/>
          <w:sz w:val="21"/>
          <w:szCs w:val="21"/>
        </w:rPr>
        <w:t xml:space="preserve">Calculations required: Lagna (Ascendant), Rashi (Moon sign), all 9 planets (Sun, Moon, Mars, Mercury, Jupiter, Venus, Saturn, Rahu, Ketu)</w:t>
      </w:r>
    </w:p>
    <w:p>
      <w:pPr>
        <w:pStyle w:val="ListParagraph"/>
        <w:numPr>
          <w:ilvl w:val="0"/>
          <w:numId w:val="1"/>
        </w:numPr>
        <w:spacing w:after="80"/>
      </w:pPr>
      <w:r>
        <w:rPr>
          <w:color w:val="1F2937"/>
          <w:sz w:val="21"/>
          <w:szCs w:val="21"/>
        </w:rPr>
        <w:t xml:space="preserve">House system: Whole sign houses</w:t>
      </w:r>
    </w:p>
    <w:p>
      <w:pPr>
        <w:pStyle w:val="ListParagraph"/>
        <w:numPr>
          <w:ilvl w:val="0"/>
          <w:numId w:val="1"/>
        </w:numPr>
        <w:spacing w:after="80"/>
      </w:pPr>
      <w:r>
        <w:rPr>
          <w:color w:val="1F2937"/>
          <w:sz w:val="21"/>
          <w:szCs w:val="21"/>
        </w:rPr>
        <w:t xml:space="preserve">Nakshatra: 27 Nakshatras with Pada (quarter)</w:t>
      </w:r>
    </w:p>
    <w:p>
      <w:pPr>
        <w:pStyle w:val="ListParagraph"/>
        <w:numPr>
          <w:ilvl w:val="0"/>
          <w:numId w:val="1"/>
        </w:numPr>
        <w:spacing w:after="80"/>
      </w:pPr>
      <w:r>
        <w:rPr>
          <w:color w:val="1F2937"/>
          <w:sz w:val="21"/>
          <w:szCs w:val="21"/>
        </w:rPr>
        <w:t xml:space="preserve">Dasha: Vimshottari Dasha — current Mahadasha, Antardasha, and Pratyantar Dasha with start/end dates</w:t>
      </w:r>
    </w:p>
    <w:p>
      <w:pPr>
        <w:pStyle w:val="ListParagraph"/>
        <w:numPr>
          <w:ilvl w:val="0"/>
          <w:numId w:val="1"/>
        </w:numPr>
        <w:spacing w:after="80"/>
      </w:pPr>
      <w:r>
        <w:rPr>
          <w:color w:val="1F2937"/>
          <w:sz w:val="21"/>
          <w:szCs w:val="21"/>
        </w:rPr>
        <w:t xml:space="preserve">Yogas: Detect top 20 common Yogas (Raj Yoga, Gajakesari, Dhana Yoga, etc.)</w:t>
      </w:r>
    </w:p>
    <w:p>
      <w:pPr>
        <w:pStyle w:val="ListParagraph"/>
        <w:numPr>
          <w:ilvl w:val="0"/>
          <w:numId w:val="1"/>
        </w:numPr>
        <w:spacing w:after="80"/>
      </w:pPr>
      <w:r>
        <w:rPr>
          <w:color w:val="1F2937"/>
          <w:sz w:val="21"/>
          <w:szCs w:val="21"/>
        </w:rPr>
        <w:t xml:space="preserve">Output: Structured JSON — all positions in degrees + zodiac sign + house number</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240"/>
      </w:tblGrid>
      <w:tr>
        <w:tc>
          <w:tcPr>
            <w:tcW w:type="dxa" w:w="9240"/>
            <w:shd w:fill="EDE9FE" w:val="clear"/>
            <w:tcMar>
              <w:top w:type="dxa" w:w="160"/>
              <w:left w:type="dxa" w:w="200"/>
              <w:bottom w:type="dxa" w:w="160"/>
              <w:right w:type="dxa" w:w="200"/>
            </w:tcMar>
          </w:tcPr>
          <w:p>
            <w:pPr>
              <w:spacing w:after="80"/>
            </w:pPr>
            <w:r>
              <w:rPr>
                <w:b/>
                <w:bCs/>
                <w:color w:val="7C3AED"/>
                <w:sz w:val="20"/>
                <w:szCs w:val="20"/>
              </w:rPr>
              <w:t xml:space="preserve">Critical constraint</w:t>
            </w:r>
          </w:p>
          <w:p>
            <w:pPr>
              <w:spacing w:after="60"/>
            </w:pPr>
            <w:r>
              <w:rPr>
                <w:color w:val="1F2937"/>
                <w:sz w:val="20"/>
                <w:szCs w:val="20"/>
              </w:rPr>
              <w:t xml:space="preserve">The calculation layer must be a separate microservice with its own test suite. 100+ test cases against known charts (public figures with verified birth times) before any AI layer is built on top.</w:t>
            </w:r>
          </w:p>
        </w:tc>
      </w:tr>
    </w:tbl>
    <w:p>
      <w:pPr>
        <w:spacing w:after="120"/>
      </w:pPr>
      <w:r>
        <w:t xml:space="preserve"/>
      </w:r>
    </w:p>
    <w:p>
      <w:pPr>
        <w:pStyle w:val="Heading2"/>
        <w:spacing w:after="120" w:before="280"/>
      </w:pPr>
      <w:r>
        <w:t xml:space="preserve">Layer 2 — Knowledge base / RAG (your actual moat)</w:t>
      </w:r>
    </w:p>
    <w:p>
      <w:pPr>
        <w:spacing w:after="140"/>
      </w:pPr>
      <w:r>
        <w:rPr>
          <w:color w:val="1F2937"/>
          <w:sz w:val="22"/>
          <w:szCs w:val="22"/>
        </w:rPr>
        <w:t xml:space="preserve">This is what separates the product from generic ChatGPT astrology. A curated, structured corpus of Vedic rules that the LLM retrieves before generating interpretations.</w:t>
      </w:r>
    </w:p>
    <w:p>
      <w:pPr>
        <w:pStyle w:val="ListParagraph"/>
        <w:numPr>
          <w:ilvl w:val="0"/>
          <w:numId w:val="1"/>
        </w:numPr>
        <w:spacing w:after="80"/>
      </w:pPr>
      <w:r>
        <w:rPr>
          <w:color w:val="1F2937"/>
          <w:sz w:val="21"/>
          <w:szCs w:val="21"/>
        </w:rPr>
        <w:t xml:space="preserve">Primary sources: Brihat Parashara Hora Shastra, Phaladeepika, Saravali, Jataka Parijata</w:t>
      </w:r>
    </w:p>
    <w:p>
      <w:pPr>
        <w:pStyle w:val="ListParagraph"/>
        <w:numPr>
          <w:ilvl w:val="0"/>
          <w:numId w:val="1"/>
        </w:numPr>
        <w:spacing w:after="80"/>
      </w:pPr>
      <w:r>
        <w:rPr>
          <w:color w:val="1F2937"/>
          <w:sz w:val="21"/>
          <w:szCs w:val="21"/>
        </w:rPr>
        <w:t xml:space="preserve">Structure: Each rule chunked as: Planet × Sign × House → Effect (with domain tag: career / marriage / health / wealth / spirituality)</w:t>
      </w:r>
    </w:p>
    <w:p>
      <w:pPr>
        <w:pStyle w:val="ListParagraph"/>
        <w:numPr>
          <w:ilvl w:val="0"/>
          <w:numId w:val="1"/>
        </w:numPr>
        <w:spacing w:after="80"/>
      </w:pPr>
      <w:r>
        <w:rPr>
          <w:color w:val="1F2937"/>
          <w:sz w:val="21"/>
          <w:szCs w:val="21"/>
        </w:rPr>
        <w:t xml:space="preserve">Size target: 15,000–25,000 rule chunks at MVP</w:t>
      </w:r>
    </w:p>
    <w:p>
      <w:pPr>
        <w:pStyle w:val="ListParagraph"/>
        <w:numPr>
          <w:ilvl w:val="0"/>
          <w:numId w:val="1"/>
        </w:numPr>
        <w:spacing w:after="80"/>
      </w:pPr>
      <w:r>
        <w:rPr>
          <w:color w:val="1F2937"/>
          <w:sz w:val="21"/>
          <w:szCs w:val="21"/>
        </w:rPr>
        <w:t xml:space="preserve">Vector DB: Pinecone (managed) or pgvector (self-hosted on Supabase) — pgvector preferred for cost at MVP scale</w:t>
      </w:r>
    </w:p>
    <w:p>
      <w:pPr>
        <w:pStyle w:val="ListParagraph"/>
        <w:numPr>
          <w:ilvl w:val="0"/>
          <w:numId w:val="1"/>
        </w:numPr>
        <w:spacing w:after="80"/>
      </w:pPr>
      <w:r>
        <w:rPr>
          <w:color w:val="1F2937"/>
          <w:sz w:val="21"/>
          <w:szCs w:val="21"/>
        </w:rPr>
        <w:t xml:space="preserve">Embedding model: text-embedding-3-small (OpenAI) or Voyage-2</w:t>
      </w:r>
    </w:p>
    <w:p>
      <w:pPr>
        <w:pStyle w:val="ListParagraph"/>
        <w:numPr>
          <w:ilvl w:val="0"/>
          <w:numId w:val="1"/>
        </w:numPr>
        <w:spacing w:after="80"/>
      </w:pPr>
      <w:r>
        <w:rPr>
          <w:color w:val="1F2937"/>
          <w:sz w:val="21"/>
          <w:szCs w:val="21"/>
        </w:rPr>
        <w:t xml:space="preserve">Retrieval: Top-8 chunks per query, reranked by domain relevance</w:t>
      </w:r>
    </w:p>
    <w:p>
      <w:pPr>
        <w:spacing w:after="80"/>
      </w:pPr>
      <w:r>
        <w:t xml:space="preserve"/>
      </w:r>
    </w:p>
    <w:p>
      <w:pPr>
        <w:spacing w:after="140"/>
      </w:pPr>
      <w:r>
        <w:rPr>
          <w:color w:val="1F2937"/>
          <w:sz w:val="22"/>
          <w:szCs w:val="22"/>
        </w:rPr>
        <w:t xml:space="preserve">At query time, the system extracts the user's relevant planetary positions and retrieves matching rules before sending to the LLM. The prompt includes the raw rules so the LLM synthesises rather than hallucinates.</w:t>
      </w:r>
    </w:p>
    <w:p>
      <w:pPr>
        <w:spacing w:after="120"/>
      </w:pPr>
      <w:r>
        <w:t xml:space="preserve"/>
      </w:r>
    </w:p>
    <w:p>
      <w:pPr>
        <w:pStyle w:val="Heading2"/>
        <w:spacing w:after="120" w:before="280"/>
      </w:pPr>
      <w:r>
        <w:t xml:space="preserve">Layer 3 — LLM interpretation layer</w:t>
      </w:r>
    </w:p>
    <w:p>
      <w:pPr>
        <w:pStyle w:val="ListParagraph"/>
        <w:numPr>
          <w:ilvl w:val="0"/>
          <w:numId w:val="1"/>
        </w:numPr>
        <w:spacing w:after="80"/>
      </w:pPr>
      <w:r>
        <w:rPr>
          <w:color w:val="1F2937"/>
          <w:sz w:val="21"/>
          <w:szCs w:val="21"/>
        </w:rPr>
        <w:t xml:space="preserve">Model: Claude claude-sonnet-4-6 (primary) — do not fine-tune at MVP; iterate on prompts</w:t>
      </w:r>
    </w:p>
    <w:p>
      <w:pPr>
        <w:pStyle w:val="ListParagraph"/>
        <w:numPr>
          <w:ilvl w:val="0"/>
          <w:numId w:val="1"/>
        </w:numPr>
        <w:spacing w:after="80"/>
      </w:pPr>
      <w:r>
        <w:rPr>
          <w:color w:val="1F2937"/>
          <w:sz w:val="21"/>
          <w:szCs w:val="21"/>
        </w:rPr>
        <w:t xml:space="preserve">System prompt controls: tone (warm, direct, not doom-heavy), language (English / Hindi / Hinglish based on user preference), domain focus, response length</w:t>
      </w:r>
    </w:p>
    <w:p>
      <w:pPr>
        <w:pStyle w:val="ListParagraph"/>
        <w:numPr>
          <w:ilvl w:val="0"/>
          <w:numId w:val="1"/>
        </w:numPr>
        <w:spacing w:after="80"/>
      </w:pPr>
      <w:r>
        <w:rPr>
          <w:color w:val="1F2937"/>
          <w:sz w:val="21"/>
          <w:szCs w:val="21"/>
        </w:rPr>
        <w:t xml:space="preserve">Input to LLM: User's chart JSON + retrieved RAG chunks + current transit positions + user's stated life context</w:t>
      </w:r>
    </w:p>
    <w:p>
      <w:pPr>
        <w:pStyle w:val="ListParagraph"/>
        <w:numPr>
          <w:ilvl w:val="0"/>
          <w:numId w:val="1"/>
        </w:numPr>
        <w:spacing w:after="80"/>
      </w:pPr>
      <w:r>
        <w:rPr>
          <w:color w:val="1F2937"/>
          <w:sz w:val="21"/>
          <w:szCs w:val="21"/>
        </w:rPr>
        <w:t xml:space="preserve">Output format: Structured sections (Current period summary → Key influences → Domain-specific guidance → Remedies if relevant)</w:t>
      </w:r>
    </w:p>
    <w:p>
      <w:pPr>
        <w:pStyle w:val="ListParagraph"/>
        <w:numPr>
          <w:ilvl w:val="0"/>
          <w:numId w:val="1"/>
        </w:numPr>
        <w:spacing w:after="80"/>
      </w:pPr>
      <w:r>
        <w:rPr>
          <w:color w:val="1F2937"/>
          <w:sz w:val="21"/>
          <w:szCs w:val="21"/>
        </w:rPr>
        <w:t xml:space="preserve">Language: English default; Hindi output via prompt instruction — do not use a translation layer</w:t>
      </w:r>
    </w:p>
    <w:p>
      <w:pPr>
        <w:spacing w:after="120"/>
      </w:pPr>
      <w:r>
        <w:t xml:space="preserve"/>
      </w:r>
    </w:p>
    <w:p>
      <w:pPr>
        <w:pStyle w:val="Heading2"/>
        <w:spacing w:after="120" w:before="280"/>
      </w:pPr>
      <w:r>
        <w:t xml:space="preserve">Layer 4 — Personalisation memory</w:t>
      </w:r>
    </w:p>
    <w:p>
      <w:pPr>
        <w:pStyle w:val="ListParagraph"/>
        <w:numPr>
          <w:ilvl w:val="0"/>
          <w:numId w:val="1"/>
        </w:numPr>
        <w:spacing w:after="80"/>
      </w:pPr>
      <w:r>
        <w:rPr>
          <w:color w:val="1F2937"/>
          <w:sz w:val="21"/>
          <w:szCs w:val="21"/>
        </w:rPr>
        <w:t xml:space="preserve">Store: User's stated life context (job seeker / in relationship / health concern) at onboarding</w:t>
      </w:r>
    </w:p>
    <w:p>
      <w:pPr>
        <w:pStyle w:val="ListParagraph"/>
        <w:numPr>
          <w:ilvl w:val="0"/>
          <w:numId w:val="1"/>
        </w:numPr>
        <w:spacing w:after="80"/>
      </w:pPr>
      <w:r>
        <w:rPr>
          <w:color w:val="1F2937"/>
          <w:sz w:val="21"/>
          <w:szCs w:val="21"/>
        </w:rPr>
        <w:t xml:space="preserve">Update: Allow users to update context at any time from profile</w:t>
      </w:r>
    </w:p>
    <w:p>
      <w:pPr>
        <w:pStyle w:val="ListParagraph"/>
        <w:numPr>
          <w:ilvl w:val="0"/>
          <w:numId w:val="1"/>
        </w:numPr>
        <w:spacing w:after="80"/>
      </w:pPr>
      <w:r>
        <w:rPr>
          <w:color w:val="1F2937"/>
          <w:sz w:val="21"/>
          <w:szCs w:val="21"/>
        </w:rPr>
        <w:t xml:space="preserve">Usage: Injected into every interpretation prompt as a context block</w:t>
      </w:r>
    </w:p>
    <w:p>
      <w:pPr>
        <w:pStyle w:val="ListParagraph"/>
        <w:numPr>
          <w:ilvl w:val="0"/>
          <w:numId w:val="1"/>
        </w:numPr>
        <w:spacing w:after="80"/>
      </w:pPr>
      <w:r>
        <w:rPr>
          <w:color w:val="1F2937"/>
          <w:sz w:val="21"/>
          <w:szCs w:val="21"/>
        </w:rPr>
        <w:t xml:space="preserve">Future (Phase 2): Interaction history — questions asked, readings rated — feed back into personalisation</w:t>
      </w:r>
    </w:p>
    <w:p>
      <w:pPr>
        <w:spacing w:after="240"/>
      </w:pPr>
      <w:r>
        <w:t xml:space="preserve"/>
      </w:r>
    </w:p>
    <w:p>
      <w:pPr>
        <w:pBdr>
          <w:bottom w:val="single" w:color="E5E7EB" w:sz="4"/>
        </w:pBdr>
        <w:spacing w:after="200" w:before="100"/>
      </w:pPr>
      <w:r>
        <w:t xml:space="preserve"/>
      </w:r>
    </w:p>
    <w:p>
      <w:pPr>
        <w:pStyle w:val="Heading1"/>
        <w:spacing w:after="120" w:before="400"/>
      </w:pPr>
      <w:r>
        <w:t xml:space="preserve">Backend specification</w:t>
      </w:r>
    </w:p>
    <w:p>
      <w:pPr>
        <w:spacing w:after="80"/>
      </w:pPr>
      <w:r>
        <w:t xml:space="preserve"/>
      </w:r>
    </w:p>
    <w:p>
      <w:pPr>
        <w:pStyle w:val="Heading2"/>
        <w:spacing w:after="120" w:before="280"/>
      </w:pPr>
      <w:r>
        <w:t xml:space="preserve">Tech stack</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Component</w:t>
            </w:r>
          </w:p>
        </w:tc>
        <w:tc>
          <w:tcPr>
            <w:tcW w:type="dxa" w:w="4620"/>
            <w:shd w:fill="F3F4F6" w:val="clear"/>
            <w:tcMar>
              <w:top w:type="dxa" w:w="100"/>
              <w:left w:type="dxa" w:w="160"/>
              <w:bottom w:type="dxa" w:w="100"/>
              <w:right w:type="dxa" w:w="160"/>
            </w:tcMar>
          </w:tcPr>
          <w:p>
            <w:r>
              <w:rPr>
                <w:b/>
                <w:bCs/>
                <w:color w:val="1F2937"/>
                <w:sz w:val="20"/>
                <w:szCs w:val="20"/>
              </w:rPr>
              <w:t xml:space="preserve">Choice</w:t>
            </w:r>
          </w:p>
        </w:tc>
      </w:tr>
      <w:tr>
        <w:tc>
          <w:tcPr>
            <w:tcW w:type="dxa" w:w="4620"/>
            <w:tcMar>
              <w:top w:type="dxa" w:w="100"/>
              <w:left w:type="dxa" w:w="160"/>
              <w:bottom w:type="dxa" w:w="100"/>
              <w:right w:type="dxa" w:w="160"/>
            </w:tcMar>
          </w:tcPr>
          <w:p>
            <w:pPr>
              <w:spacing w:after="0"/>
            </w:pPr>
            <w:r>
              <w:rPr>
                <w:color w:val="1F2937"/>
                <w:sz w:val="20"/>
                <w:szCs w:val="20"/>
              </w:rPr>
              <w:t xml:space="preserve">API</w:t>
            </w:r>
          </w:p>
        </w:tc>
        <w:tc>
          <w:tcPr>
            <w:tcW w:type="dxa" w:w="4620"/>
            <w:tcMar>
              <w:top w:type="dxa" w:w="100"/>
              <w:left w:type="dxa" w:w="160"/>
              <w:bottom w:type="dxa" w:w="100"/>
              <w:right w:type="dxa" w:w="160"/>
            </w:tcMar>
          </w:tcPr>
          <w:p>
            <w:pPr>
              <w:spacing w:after="0"/>
            </w:pPr>
            <w:r>
              <w:rPr>
                <w:color w:val="1F2937"/>
                <w:sz w:val="20"/>
                <w:szCs w:val="20"/>
              </w:rPr>
              <w:t xml:space="preserve">Node.js (Express) or Python (FastAPI) — builder's choice</w:t>
            </w:r>
          </w:p>
        </w:tc>
      </w:tr>
      <w:tr>
        <w:tc>
          <w:tcPr>
            <w:tcW w:type="dxa" w:w="4620"/>
            <w:tcMar>
              <w:top w:type="dxa" w:w="100"/>
              <w:left w:type="dxa" w:w="160"/>
              <w:bottom w:type="dxa" w:w="100"/>
              <w:right w:type="dxa" w:w="160"/>
            </w:tcMar>
          </w:tcPr>
          <w:p>
            <w:pPr>
              <w:spacing w:after="0"/>
            </w:pPr>
            <w:r>
              <w:rPr>
                <w:color w:val="1F2937"/>
                <w:sz w:val="20"/>
                <w:szCs w:val="20"/>
              </w:rPr>
              <w:t xml:space="preserve">Database</w:t>
            </w:r>
          </w:p>
        </w:tc>
        <w:tc>
          <w:tcPr>
            <w:tcW w:type="dxa" w:w="4620"/>
            <w:tcMar>
              <w:top w:type="dxa" w:w="100"/>
              <w:left w:type="dxa" w:w="160"/>
              <w:bottom w:type="dxa" w:w="100"/>
              <w:right w:type="dxa" w:w="160"/>
            </w:tcMar>
          </w:tcPr>
          <w:p>
            <w:pPr>
              <w:spacing w:after="0"/>
            </w:pPr>
            <w:r>
              <w:rPr>
                <w:color w:val="1F2937"/>
                <w:sz w:val="20"/>
                <w:szCs w:val="20"/>
              </w:rPr>
              <w:t xml:space="preserve">Supabase (Postgres + Auth + Storage)</w:t>
            </w:r>
          </w:p>
        </w:tc>
      </w:tr>
      <w:tr>
        <w:tc>
          <w:tcPr>
            <w:tcW w:type="dxa" w:w="4620"/>
            <w:tcMar>
              <w:top w:type="dxa" w:w="100"/>
              <w:left w:type="dxa" w:w="160"/>
              <w:bottom w:type="dxa" w:w="100"/>
              <w:right w:type="dxa" w:w="160"/>
            </w:tcMar>
          </w:tcPr>
          <w:p>
            <w:pPr>
              <w:spacing w:after="0"/>
            </w:pPr>
            <w:r>
              <w:rPr>
                <w:color w:val="1F2937"/>
                <w:sz w:val="20"/>
                <w:szCs w:val="20"/>
              </w:rPr>
              <w:t xml:space="preserve">Chart calculation</w:t>
            </w:r>
          </w:p>
        </w:tc>
        <w:tc>
          <w:tcPr>
            <w:tcW w:type="dxa" w:w="4620"/>
            <w:tcMar>
              <w:top w:type="dxa" w:w="100"/>
              <w:left w:type="dxa" w:w="160"/>
              <w:bottom w:type="dxa" w:w="100"/>
              <w:right w:type="dxa" w:w="160"/>
            </w:tcMar>
          </w:tcPr>
          <w:p>
            <w:pPr>
              <w:spacing w:after="0"/>
            </w:pPr>
            <w:r>
              <w:rPr>
                <w:color w:val="1F2937"/>
                <w:sz w:val="20"/>
                <w:szCs w:val="20"/>
              </w:rPr>
              <w:t xml:space="preserve">Python microservice via pyswisseph — called by API</w:t>
            </w:r>
          </w:p>
        </w:tc>
      </w:tr>
      <w:tr>
        <w:tc>
          <w:tcPr>
            <w:tcW w:type="dxa" w:w="4620"/>
            <w:tcMar>
              <w:top w:type="dxa" w:w="100"/>
              <w:left w:type="dxa" w:w="160"/>
              <w:bottom w:type="dxa" w:w="100"/>
              <w:right w:type="dxa" w:w="160"/>
            </w:tcMar>
          </w:tcPr>
          <w:p>
            <w:pPr>
              <w:spacing w:after="0"/>
            </w:pPr>
            <w:r>
              <w:rPr>
                <w:color w:val="1F2937"/>
                <w:sz w:val="20"/>
                <w:szCs w:val="20"/>
              </w:rPr>
              <w:t xml:space="preserve">Vector DB</w:t>
            </w:r>
          </w:p>
        </w:tc>
        <w:tc>
          <w:tcPr>
            <w:tcW w:type="dxa" w:w="4620"/>
            <w:tcMar>
              <w:top w:type="dxa" w:w="100"/>
              <w:left w:type="dxa" w:w="160"/>
              <w:bottom w:type="dxa" w:w="100"/>
              <w:right w:type="dxa" w:w="160"/>
            </w:tcMar>
          </w:tcPr>
          <w:p>
            <w:pPr>
              <w:spacing w:after="0"/>
            </w:pPr>
            <w:r>
              <w:rPr>
                <w:color w:val="1F2937"/>
                <w:sz w:val="20"/>
                <w:szCs w:val="20"/>
              </w:rPr>
              <w:t xml:space="preserve">pgvector extension on Supabase (MVP); Pinecone if scale demands</w:t>
            </w:r>
          </w:p>
        </w:tc>
      </w:tr>
      <w:tr>
        <w:tc>
          <w:tcPr>
            <w:tcW w:type="dxa" w:w="4620"/>
            <w:tcMar>
              <w:top w:type="dxa" w:w="100"/>
              <w:left w:type="dxa" w:w="160"/>
              <w:bottom w:type="dxa" w:w="100"/>
              <w:right w:type="dxa" w:w="160"/>
            </w:tcMar>
          </w:tcPr>
          <w:p>
            <w:pPr>
              <w:spacing w:after="0"/>
            </w:pPr>
            <w:r>
              <w:rPr>
                <w:color w:val="1F2937"/>
                <w:sz w:val="20"/>
                <w:szCs w:val="20"/>
              </w:rPr>
              <w:t xml:space="preserve">LLM</w:t>
            </w:r>
          </w:p>
        </w:tc>
        <w:tc>
          <w:tcPr>
            <w:tcW w:type="dxa" w:w="4620"/>
            <w:tcMar>
              <w:top w:type="dxa" w:w="100"/>
              <w:left w:type="dxa" w:w="160"/>
              <w:bottom w:type="dxa" w:w="100"/>
              <w:right w:type="dxa" w:w="160"/>
            </w:tcMar>
          </w:tcPr>
          <w:p>
            <w:pPr>
              <w:spacing w:after="0"/>
            </w:pPr>
            <w:r>
              <w:rPr>
                <w:color w:val="1F2937"/>
                <w:sz w:val="20"/>
                <w:szCs w:val="20"/>
              </w:rPr>
              <w:t xml:space="preserve">Anthropic Claude API (claude-sonnet-4-6)</w:t>
            </w:r>
          </w:p>
        </w:tc>
      </w:tr>
      <w:tr>
        <w:tc>
          <w:tcPr>
            <w:tcW w:type="dxa" w:w="4620"/>
            <w:tcMar>
              <w:top w:type="dxa" w:w="100"/>
              <w:left w:type="dxa" w:w="160"/>
              <w:bottom w:type="dxa" w:w="100"/>
              <w:right w:type="dxa" w:w="160"/>
            </w:tcMar>
          </w:tcPr>
          <w:p>
            <w:pPr>
              <w:spacing w:after="0"/>
            </w:pPr>
            <w:r>
              <w:rPr>
                <w:color w:val="1F2937"/>
                <w:sz w:val="20"/>
                <w:szCs w:val="20"/>
              </w:rPr>
              <w:t xml:space="preserve">Payments</w:t>
            </w:r>
          </w:p>
        </w:tc>
        <w:tc>
          <w:tcPr>
            <w:tcW w:type="dxa" w:w="4620"/>
            <w:tcMar>
              <w:top w:type="dxa" w:w="100"/>
              <w:left w:type="dxa" w:w="160"/>
              <w:bottom w:type="dxa" w:w="100"/>
              <w:right w:type="dxa" w:w="160"/>
            </w:tcMar>
          </w:tcPr>
          <w:p>
            <w:pPr>
              <w:spacing w:after="0"/>
            </w:pPr>
            <w:r>
              <w:rPr>
                <w:color w:val="1F2937"/>
                <w:sz w:val="20"/>
                <w:szCs w:val="20"/>
              </w:rPr>
              <w:t xml:space="preserve">Razorpay — subscriptions + one-time purchases</w:t>
            </w:r>
          </w:p>
        </w:tc>
      </w:tr>
      <w:tr>
        <w:tc>
          <w:tcPr>
            <w:tcW w:type="dxa" w:w="4620"/>
            <w:tcMar>
              <w:top w:type="dxa" w:w="100"/>
              <w:left w:type="dxa" w:w="160"/>
              <w:bottom w:type="dxa" w:w="100"/>
              <w:right w:type="dxa" w:w="160"/>
            </w:tcMar>
          </w:tcPr>
          <w:p>
            <w:pPr>
              <w:spacing w:after="0"/>
            </w:pPr>
            <w:r>
              <w:rPr>
                <w:color w:val="1F2937"/>
                <w:sz w:val="20"/>
                <w:szCs w:val="20"/>
              </w:rPr>
              <w:t xml:space="preserve">Push notifications</w:t>
            </w:r>
          </w:p>
        </w:tc>
        <w:tc>
          <w:tcPr>
            <w:tcW w:type="dxa" w:w="4620"/>
            <w:tcMar>
              <w:top w:type="dxa" w:w="100"/>
              <w:left w:type="dxa" w:w="160"/>
              <w:bottom w:type="dxa" w:w="100"/>
              <w:right w:type="dxa" w:w="160"/>
            </w:tcMar>
          </w:tcPr>
          <w:p>
            <w:pPr>
              <w:spacing w:after="0"/>
            </w:pPr>
            <w:r>
              <w:rPr>
                <w:color w:val="1F2937"/>
                <w:sz w:val="20"/>
                <w:szCs w:val="20"/>
              </w:rPr>
              <w:t xml:space="preserve">Firebase Cloud Messaging</w:t>
            </w:r>
          </w:p>
        </w:tc>
      </w:tr>
      <w:tr>
        <w:tc>
          <w:tcPr>
            <w:tcW w:type="dxa" w:w="4620"/>
            <w:tcMar>
              <w:top w:type="dxa" w:w="100"/>
              <w:left w:type="dxa" w:w="160"/>
              <w:bottom w:type="dxa" w:w="100"/>
              <w:right w:type="dxa" w:w="160"/>
            </w:tcMar>
          </w:tcPr>
          <w:p>
            <w:pPr>
              <w:spacing w:after="0"/>
            </w:pPr>
            <w:r>
              <w:rPr>
                <w:color w:val="1F2937"/>
                <w:sz w:val="20"/>
                <w:szCs w:val="20"/>
              </w:rPr>
              <w:t xml:space="preserve">Hosting</w:t>
            </w:r>
          </w:p>
        </w:tc>
        <w:tc>
          <w:tcPr>
            <w:tcW w:type="dxa" w:w="4620"/>
            <w:tcMar>
              <w:top w:type="dxa" w:w="100"/>
              <w:left w:type="dxa" w:w="160"/>
              <w:bottom w:type="dxa" w:w="100"/>
              <w:right w:type="dxa" w:w="160"/>
            </w:tcMar>
          </w:tcPr>
          <w:p>
            <w:pPr>
              <w:spacing w:after="0"/>
            </w:pPr>
            <w:r>
              <w:rPr>
                <w:color w:val="1F2937"/>
                <w:sz w:val="20"/>
                <w:szCs w:val="20"/>
              </w:rPr>
              <w:t xml:space="preserve">Railway or Render (API) — low ops overhead for MVP</w:t>
            </w:r>
          </w:p>
        </w:tc>
      </w:tr>
    </w:tbl>
    <w:p>
      <w:pPr>
        <w:spacing w:after="240"/>
      </w:pPr>
      <w:r>
        <w:t xml:space="preserve"/>
      </w:r>
    </w:p>
    <w:p>
      <w:pPr>
        <w:pStyle w:val="Heading2"/>
        <w:spacing w:after="120" w:before="280"/>
      </w:pPr>
      <w:r>
        <w:t xml:space="preserve">Core API endpoints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Endpoint</w:t>
            </w:r>
          </w:p>
        </w:tc>
        <w:tc>
          <w:tcPr>
            <w:tcW w:type="dxa" w:w="4620"/>
            <w:shd w:fill="F3F4F6" w:val="clear"/>
            <w:tcMar>
              <w:top w:type="dxa" w:w="100"/>
              <w:left w:type="dxa" w:w="160"/>
              <w:bottom w:type="dxa" w:w="100"/>
              <w:right w:type="dxa" w:w="160"/>
            </w:tcMar>
          </w:tcPr>
          <w:p>
            <w:r>
              <w:rPr>
                <w:b/>
                <w:bCs/>
                <w:color w:val="1F2937"/>
                <w:sz w:val="20"/>
                <w:szCs w:val="20"/>
              </w:rPr>
              <w:t xml:space="preserve">Description</w:t>
            </w:r>
          </w:p>
        </w:tc>
      </w:tr>
      <w:tr>
        <w:tc>
          <w:tcPr>
            <w:tcW w:type="dxa" w:w="4620"/>
            <w:tcMar>
              <w:top w:type="dxa" w:w="100"/>
              <w:left w:type="dxa" w:w="160"/>
              <w:bottom w:type="dxa" w:w="100"/>
              <w:right w:type="dxa" w:w="160"/>
            </w:tcMar>
          </w:tcPr>
          <w:p>
            <w:pPr>
              <w:spacing w:after="0"/>
            </w:pPr>
            <w:r>
              <w:rPr>
                <w:color w:val="1F2937"/>
                <w:sz w:val="20"/>
                <w:szCs w:val="20"/>
              </w:rPr>
              <w:t xml:space="preserve">POST /chart/generate</w:t>
            </w:r>
          </w:p>
        </w:tc>
        <w:tc>
          <w:tcPr>
            <w:tcW w:type="dxa" w:w="4620"/>
            <w:tcMar>
              <w:top w:type="dxa" w:w="100"/>
              <w:left w:type="dxa" w:w="160"/>
              <w:bottom w:type="dxa" w:w="100"/>
              <w:right w:type="dxa" w:w="160"/>
            </w:tcMar>
          </w:tcPr>
          <w:p>
            <w:pPr>
              <w:spacing w:after="0"/>
            </w:pPr>
            <w:r>
              <w:rPr>
                <w:color w:val="1F2937"/>
                <w:sz w:val="20"/>
                <w:szCs w:val="20"/>
              </w:rPr>
              <w:t xml:space="preserve">Birth details → full chart JSON (planets, houses, Dashas, Yogas)</w:t>
            </w:r>
          </w:p>
        </w:tc>
      </w:tr>
      <w:tr>
        <w:tc>
          <w:tcPr>
            <w:tcW w:type="dxa" w:w="4620"/>
            <w:tcMar>
              <w:top w:type="dxa" w:w="100"/>
              <w:left w:type="dxa" w:w="160"/>
              <w:bottom w:type="dxa" w:w="100"/>
              <w:right w:type="dxa" w:w="160"/>
            </w:tcMar>
          </w:tcPr>
          <w:p>
            <w:pPr>
              <w:spacing w:after="0"/>
            </w:pPr>
            <w:r>
              <w:rPr>
                <w:color w:val="1F2937"/>
                <w:sz w:val="20"/>
                <w:szCs w:val="20"/>
              </w:rPr>
              <w:t xml:space="preserve">GET /chart/:userId</w:t>
            </w:r>
          </w:p>
        </w:tc>
        <w:tc>
          <w:tcPr>
            <w:tcW w:type="dxa" w:w="4620"/>
            <w:tcMar>
              <w:top w:type="dxa" w:w="100"/>
              <w:left w:type="dxa" w:w="160"/>
              <w:bottom w:type="dxa" w:w="100"/>
              <w:right w:type="dxa" w:w="160"/>
            </w:tcMar>
          </w:tcPr>
          <w:p>
            <w:pPr>
              <w:spacing w:after="0"/>
            </w:pPr>
            <w:r>
              <w:rPr>
                <w:color w:val="1F2937"/>
                <w:sz w:val="20"/>
                <w:szCs w:val="20"/>
              </w:rPr>
              <w:t xml:space="preserve">Fetch stored chart for user</w:t>
            </w:r>
          </w:p>
        </w:tc>
      </w:tr>
      <w:tr>
        <w:tc>
          <w:tcPr>
            <w:tcW w:type="dxa" w:w="4620"/>
            <w:tcMar>
              <w:top w:type="dxa" w:w="100"/>
              <w:left w:type="dxa" w:w="160"/>
              <w:bottom w:type="dxa" w:w="100"/>
              <w:right w:type="dxa" w:w="160"/>
            </w:tcMar>
          </w:tcPr>
          <w:p>
            <w:pPr>
              <w:spacing w:after="0"/>
            </w:pPr>
            <w:r>
              <w:rPr>
                <w:color w:val="1F2937"/>
                <w:sz w:val="20"/>
                <w:szCs w:val="20"/>
              </w:rPr>
              <w:t xml:space="preserve">POST /reading/generate</w:t>
            </w:r>
          </w:p>
        </w:tc>
        <w:tc>
          <w:tcPr>
            <w:tcW w:type="dxa" w:w="4620"/>
            <w:tcMar>
              <w:top w:type="dxa" w:w="100"/>
              <w:left w:type="dxa" w:w="160"/>
              <w:bottom w:type="dxa" w:w="100"/>
              <w:right w:type="dxa" w:w="160"/>
            </w:tcMar>
          </w:tcPr>
          <w:p>
            <w:pPr>
              <w:spacing w:after="0"/>
            </w:pPr>
            <w:r>
              <w:rPr>
                <w:color w:val="1F2937"/>
                <w:sz w:val="20"/>
                <w:szCs w:val="20"/>
              </w:rPr>
              <w:t xml:space="preserve">Chart + context + query type → AI reading (streamed)</w:t>
            </w:r>
          </w:p>
        </w:tc>
      </w:tr>
      <w:tr>
        <w:tc>
          <w:tcPr>
            <w:tcW w:type="dxa" w:w="4620"/>
            <w:tcMar>
              <w:top w:type="dxa" w:w="100"/>
              <w:left w:type="dxa" w:w="160"/>
              <w:bottom w:type="dxa" w:w="100"/>
              <w:right w:type="dxa" w:w="160"/>
            </w:tcMar>
          </w:tcPr>
          <w:p>
            <w:pPr>
              <w:spacing w:after="0"/>
            </w:pPr>
            <w:r>
              <w:rPr>
                <w:color w:val="1F2937"/>
                <w:sz w:val="20"/>
                <w:szCs w:val="20"/>
              </w:rPr>
              <w:t xml:space="preserve">GET /transit/current</w:t>
            </w:r>
          </w:p>
        </w:tc>
        <w:tc>
          <w:tcPr>
            <w:tcW w:type="dxa" w:w="4620"/>
            <w:tcMar>
              <w:top w:type="dxa" w:w="100"/>
              <w:left w:type="dxa" w:w="160"/>
              <w:bottom w:type="dxa" w:w="100"/>
              <w:right w:type="dxa" w:w="160"/>
            </w:tcMar>
          </w:tcPr>
          <w:p>
            <w:pPr>
              <w:spacing w:after="0"/>
            </w:pPr>
            <w:r>
              <w:rPr>
                <w:color w:val="1F2937"/>
                <w:sz w:val="20"/>
                <w:szCs w:val="20"/>
              </w:rPr>
              <w:t xml:space="preserve">Today's planetary positions + aspect to user's natal chart</w:t>
            </w:r>
          </w:p>
        </w:tc>
      </w:tr>
      <w:tr>
        <w:tc>
          <w:tcPr>
            <w:tcW w:type="dxa" w:w="4620"/>
            <w:tcMar>
              <w:top w:type="dxa" w:w="100"/>
              <w:left w:type="dxa" w:w="160"/>
              <w:bottom w:type="dxa" w:w="100"/>
              <w:right w:type="dxa" w:w="160"/>
            </w:tcMar>
          </w:tcPr>
          <w:p>
            <w:pPr>
              <w:spacing w:after="0"/>
            </w:pPr>
            <w:r>
              <w:rPr>
                <w:color w:val="1F2937"/>
                <w:sz w:val="20"/>
                <w:szCs w:val="20"/>
              </w:rPr>
              <w:t xml:space="preserve">POST /compatibility/generate</w:t>
            </w:r>
          </w:p>
        </w:tc>
        <w:tc>
          <w:tcPr>
            <w:tcW w:type="dxa" w:w="4620"/>
            <w:tcMar>
              <w:top w:type="dxa" w:w="100"/>
              <w:left w:type="dxa" w:w="160"/>
              <w:bottom w:type="dxa" w:w="100"/>
              <w:right w:type="dxa" w:w="160"/>
            </w:tcMar>
          </w:tcPr>
          <w:p>
            <w:pPr>
              <w:spacing w:after="0"/>
            </w:pPr>
            <w:r>
              <w:rPr>
                <w:color w:val="1F2937"/>
                <w:sz w:val="20"/>
                <w:szCs w:val="20"/>
              </w:rPr>
              <w:t xml:space="preserve">Two chart JSONs → Ashtakoota score + AI narrative</w:t>
            </w:r>
          </w:p>
        </w:tc>
      </w:tr>
      <w:tr>
        <w:tc>
          <w:tcPr>
            <w:tcW w:type="dxa" w:w="4620"/>
            <w:tcMar>
              <w:top w:type="dxa" w:w="100"/>
              <w:left w:type="dxa" w:w="160"/>
              <w:bottom w:type="dxa" w:w="100"/>
              <w:right w:type="dxa" w:w="160"/>
            </w:tcMar>
          </w:tcPr>
          <w:p>
            <w:pPr>
              <w:spacing w:after="0"/>
            </w:pPr>
            <w:r>
              <w:rPr>
                <w:color w:val="1F2937"/>
                <w:sz w:val="20"/>
                <w:szCs w:val="20"/>
              </w:rPr>
              <w:t xml:space="preserve">GET /dasha/timeline/:userId</w:t>
            </w:r>
          </w:p>
        </w:tc>
        <w:tc>
          <w:tcPr>
            <w:tcW w:type="dxa" w:w="4620"/>
            <w:tcMar>
              <w:top w:type="dxa" w:w="100"/>
              <w:left w:type="dxa" w:w="160"/>
              <w:bottom w:type="dxa" w:w="100"/>
              <w:right w:type="dxa" w:w="160"/>
            </w:tcMar>
          </w:tcPr>
          <w:p>
            <w:pPr>
              <w:spacing w:after="0"/>
            </w:pPr>
            <w:r>
              <w:rPr>
                <w:color w:val="1F2937"/>
                <w:sz w:val="20"/>
                <w:szCs w:val="20"/>
              </w:rPr>
              <w:t xml:space="preserve">Full Vimshottari Dasha timeline with dates</w:t>
            </w:r>
          </w:p>
        </w:tc>
      </w:tr>
      <w:tr>
        <w:tc>
          <w:tcPr>
            <w:tcW w:type="dxa" w:w="4620"/>
            <w:tcMar>
              <w:top w:type="dxa" w:w="100"/>
              <w:left w:type="dxa" w:w="160"/>
              <w:bottom w:type="dxa" w:w="100"/>
              <w:right w:type="dxa" w:w="160"/>
            </w:tcMar>
          </w:tcPr>
          <w:p>
            <w:pPr>
              <w:spacing w:after="0"/>
            </w:pPr>
            <w:r>
              <w:rPr>
                <w:color w:val="1F2937"/>
                <w:sz w:val="20"/>
                <w:szCs w:val="20"/>
              </w:rPr>
              <w:t xml:space="preserve">POST /muhurta/check</w:t>
            </w:r>
          </w:p>
        </w:tc>
        <w:tc>
          <w:tcPr>
            <w:tcW w:type="dxa" w:w="4620"/>
            <w:tcMar>
              <w:top w:type="dxa" w:w="100"/>
              <w:left w:type="dxa" w:w="160"/>
              <w:bottom w:type="dxa" w:w="100"/>
              <w:right w:type="dxa" w:w="160"/>
            </w:tcMar>
          </w:tcPr>
          <w:p>
            <w:pPr>
              <w:spacing w:after="0"/>
            </w:pPr>
            <w:r>
              <w:rPr>
                <w:color w:val="1F2937"/>
                <w:sz w:val="20"/>
                <w:szCs w:val="20"/>
              </w:rPr>
              <w:t xml:space="preserve">Event type + date range → auspicious windows</w:t>
            </w:r>
          </w:p>
        </w:tc>
      </w:tr>
      <w:tr>
        <w:tc>
          <w:tcPr>
            <w:tcW w:type="dxa" w:w="4620"/>
            <w:tcMar>
              <w:top w:type="dxa" w:w="100"/>
              <w:left w:type="dxa" w:w="160"/>
              <w:bottom w:type="dxa" w:w="100"/>
              <w:right w:type="dxa" w:w="160"/>
            </w:tcMar>
          </w:tcPr>
          <w:p>
            <w:pPr>
              <w:spacing w:after="0"/>
            </w:pPr>
            <w:r>
              <w:rPr>
                <w:color w:val="1F2937"/>
                <w:sz w:val="20"/>
                <w:szCs w:val="20"/>
              </w:rPr>
              <w:t xml:space="preserve">POST /user/context</w:t>
            </w:r>
          </w:p>
        </w:tc>
        <w:tc>
          <w:tcPr>
            <w:tcW w:type="dxa" w:w="4620"/>
            <w:tcMar>
              <w:top w:type="dxa" w:w="100"/>
              <w:left w:type="dxa" w:w="160"/>
              <w:bottom w:type="dxa" w:w="100"/>
              <w:right w:type="dxa" w:w="160"/>
            </w:tcMar>
          </w:tcPr>
          <w:p>
            <w:pPr>
              <w:spacing w:after="0"/>
            </w:pPr>
            <w:r>
              <w:rPr>
                <w:color w:val="1F2937"/>
                <w:sz w:val="20"/>
                <w:szCs w:val="20"/>
              </w:rPr>
              <w:t xml:space="preserve">Update user life context for personalisation</w:t>
            </w:r>
          </w:p>
        </w:tc>
      </w:tr>
      <w:tr>
        <w:tc>
          <w:tcPr>
            <w:tcW w:type="dxa" w:w="4620"/>
            <w:tcMar>
              <w:top w:type="dxa" w:w="100"/>
              <w:left w:type="dxa" w:w="160"/>
              <w:bottom w:type="dxa" w:w="100"/>
              <w:right w:type="dxa" w:w="160"/>
            </w:tcMar>
          </w:tcPr>
          <w:p>
            <w:pPr>
              <w:spacing w:after="0"/>
            </w:pPr>
            <w:r>
              <w:rPr>
                <w:color w:val="1F2937"/>
                <w:sz w:val="20"/>
                <w:szCs w:val="20"/>
              </w:rPr>
              <w:t xml:space="preserve">POST /payment/subscribe</w:t>
            </w:r>
          </w:p>
        </w:tc>
        <w:tc>
          <w:tcPr>
            <w:tcW w:type="dxa" w:w="4620"/>
            <w:tcMar>
              <w:top w:type="dxa" w:w="100"/>
              <w:left w:type="dxa" w:w="160"/>
              <w:bottom w:type="dxa" w:w="100"/>
              <w:right w:type="dxa" w:w="160"/>
            </w:tcMar>
          </w:tcPr>
          <w:p>
            <w:pPr>
              <w:spacing w:after="0"/>
            </w:pPr>
            <w:r>
              <w:rPr>
                <w:color w:val="1F2937"/>
                <w:sz w:val="20"/>
                <w:szCs w:val="20"/>
              </w:rPr>
              <w:t xml:space="preserve">Razorpay subscription creation</w:t>
            </w:r>
          </w:p>
        </w:tc>
      </w:tr>
      <w:tr>
        <w:tc>
          <w:tcPr>
            <w:tcW w:type="dxa" w:w="4620"/>
            <w:tcMar>
              <w:top w:type="dxa" w:w="100"/>
              <w:left w:type="dxa" w:w="160"/>
              <w:bottom w:type="dxa" w:w="100"/>
              <w:right w:type="dxa" w:w="160"/>
            </w:tcMar>
          </w:tcPr>
          <w:p>
            <w:pPr>
              <w:spacing w:after="0"/>
            </w:pPr>
            <w:r>
              <w:rPr>
                <w:color w:val="1F2937"/>
                <w:sz w:val="20"/>
                <w:szCs w:val="20"/>
              </w:rPr>
              <w:t xml:space="preserve">GET /payment/status</w:t>
            </w:r>
          </w:p>
        </w:tc>
        <w:tc>
          <w:tcPr>
            <w:tcW w:type="dxa" w:w="4620"/>
            <w:tcMar>
              <w:top w:type="dxa" w:w="100"/>
              <w:left w:type="dxa" w:w="160"/>
              <w:bottom w:type="dxa" w:w="100"/>
              <w:right w:type="dxa" w:w="160"/>
            </w:tcMar>
          </w:tcPr>
          <w:p>
            <w:pPr>
              <w:spacing w:after="0"/>
            </w:pPr>
            <w:r>
              <w:rPr>
                <w:color w:val="1F2937"/>
                <w:sz w:val="20"/>
                <w:szCs w:val="20"/>
              </w:rPr>
              <w:t xml:space="preserve">Check subscription tier and expiry</w:t>
            </w:r>
          </w:p>
        </w:tc>
      </w:tr>
    </w:tbl>
    <w:p>
      <w:pPr>
        <w:spacing w:after="240"/>
      </w:pPr>
      <w:r>
        <w:t xml:space="preserve"/>
      </w:r>
    </w:p>
    <w:p>
      <w:pPr>
        <w:pBdr>
          <w:bottom w:val="single" w:color="E5E7EB" w:sz="4"/>
        </w:pBdr>
        <w:spacing w:after="200" w:before="100"/>
      </w:pPr>
      <w:r>
        <w:t xml:space="preserve"/>
      </w:r>
    </w:p>
    <w:p>
      <w:pPr>
        <w:pStyle w:val="Heading1"/>
        <w:spacing w:after="120" w:before="400"/>
      </w:pPr>
      <w:r>
        <w:t xml:space="preserve">App screens and flows</w:t>
      </w:r>
    </w:p>
    <w:p>
      <w:pPr>
        <w:spacing w:after="80"/>
      </w:pPr>
      <w:r>
        <w:t xml:space="preserve"/>
      </w:r>
    </w:p>
    <w:p>
      <w:pPr>
        <w:pStyle w:val="Heading2"/>
        <w:spacing w:after="120" w:before="280"/>
      </w:pPr>
      <w:r>
        <w:t xml:space="preserve">Onboarding flow</w:t>
      </w:r>
    </w:p>
    <w:p>
      <w:pPr>
        <w:pStyle w:val="ListParagraph"/>
        <w:numPr>
          <w:ilvl w:val="0"/>
          <w:numId w:val="1"/>
        </w:numPr>
        <w:spacing w:after="80"/>
      </w:pPr>
      <w:r>
        <w:rPr>
          <w:color w:val="1F2937"/>
          <w:sz w:val="21"/>
          <w:szCs w:val="21"/>
        </w:rPr>
        <w:t xml:space="preserve">Screen 1: Name + Date of birth (DD/MM/YYYY picker)</w:t>
      </w:r>
    </w:p>
    <w:p>
      <w:pPr>
        <w:pStyle w:val="ListParagraph"/>
        <w:numPr>
          <w:ilvl w:val="0"/>
          <w:numId w:val="1"/>
        </w:numPr>
        <w:spacing w:after="80"/>
      </w:pPr>
      <w:r>
        <w:rPr>
          <w:color w:val="1F2937"/>
          <w:sz w:val="21"/>
          <w:szCs w:val="21"/>
        </w:rPr>
        <w:t xml:space="preserve">Screen 2: Time of birth — exact time preferred; offer 'I don't know' → uses noon default with warning about reduced accuracy</w:t>
      </w:r>
    </w:p>
    <w:p>
      <w:pPr>
        <w:pStyle w:val="ListParagraph"/>
        <w:numPr>
          <w:ilvl w:val="0"/>
          <w:numId w:val="1"/>
        </w:numPr>
        <w:spacing w:after="80"/>
      </w:pPr>
      <w:r>
        <w:rPr>
          <w:color w:val="1F2937"/>
          <w:sz w:val="21"/>
          <w:szCs w:val="21"/>
        </w:rPr>
        <w:t xml:space="preserve">Screen 3: Place of birth — city search with lat/long lookup (OpenCage Geocoding API)</w:t>
      </w:r>
    </w:p>
    <w:p>
      <w:pPr>
        <w:pStyle w:val="ListParagraph"/>
        <w:numPr>
          <w:ilvl w:val="0"/>
          <w:numId w:val="1"/>
        </w:numPr>
        <w:spacing w:after="80"/>
      </w:pPr>
      <w:r>
        <w:rPr>
          <w:color w:val="1F2937"/>
          <w:sz w:val="21"/>
          <w:szCs w:val="21"/>
        </w:rPr>
        <w:t xml:space="preserve">Screen 4: Life context — single-select: 'Career &amp; money', 'Love &amp; relationships', 'Health &amp; wellbeing', 'Spiritual growth', 'General guidance'</w:t>
      </w:r>
    </w:p>
    <w:p>
      <w:pPr>
        <w:pStyle w:val="ListParagraph"/>
        <w:numPr>
          <w:ilvl w:val="0"/>
          <w:numId w:val="1"/>
        </w:numPr>
        <w:spacing w:after="80"/>
      </w:pPr>
      <w:r>
        <w:rPr>
          <w:color w:val="1F2937"/>
          <w:sz w:val="21"/>
          <w:szCs w:val="21"/>
        </w:rPr>
        <w:t xml:space="preserve">Screen 5: Language preference — English / हिंदी / Hinglish</w:t>
      </w:r>
    </w:p>
    <w:p>
      <w:pPr>
        <w:pStyle w:val="ListParagraph"/>
        <w:numPr>
          <w:ilvl w:val="0"/>
          <w:numId w:val="1"/>
        </w:numPr>
        <w:spacing w:after="80"/>
      </w:pPr>
      <w:r>
        <w:rPr>
          <w:color w:val="1F2937"/>
          <w:sz w:val="21"/>
          <w:szCs w:val="21"/>
        </w:rPr>
        <w:t xml:space="preserve">Result: Kundli generated, user lands on Home screen</w:t>
      </w:r>
    </w:p>
    <w:p>
      <w:pPr>
        <w:spacing w:after="120"/>
      </w:pPr>
      <w:r>
        <w:t xml:space="preserve"/>
      </w:r>
    </w:p>
    <w:p>
      <w:pPr>
        <w:pStyle w:val="Heading2"/>
        <w:spacing w:after="120" w:before="280"/>
      </w:pPr>
      <w:r>
        <w:t xml:space="preserve">Home screen</w:t>
      </w:r>
    </w:p>
    <w:p>
      <w:pPr>
        <w:pStyle w:val="ListParagraph"/>
        <w:numPr>
          <w:ilvl w:val="0"/>
          <w:numId w:val="1"/>
        </w:numPr>
        <w:spacing w:after="80"/>
      </w:pPr>
      <w:r>
        <w:rPr>
          <w:color w:val="1F2937"/>
          <w:sz w:val="21"/>
          <w:szCs w:val="21"/>
        </w:rPr>
        <w:t xml:space="preserve">Header: User's Lagna, Rashi, current Dasha period</w:t>
      </w:r>
    </w:p>
    <w:p>
      <w:pPr>
        <w:pStyle w:val="ListParagraph"/>
        <w:numPr>
          <w:ilvl w:val="0"/>
          <w:numId w:val="1"/>
        </w:numPr>
        <w:spacing w:after="80"/>
      </w:pPr>
      <w:r>
        <w:rPr>
          <w:color w:val="1F2937"/>
          <w:sz w:val="21"/>
          <w:szCs w:val="21"/>
        </w:rPr>
        <w:t xml:space="preserve">Card 1: Today's reading — personalised 3–4 line summary for today based on transits + Dasha</w:t>
      </w:r>
    </w:p>
    <w:p>
      <w:pPr>
        <w:pStyle w:val="ListParagraph"/>
        <w:numPr>
          <w:ilvl w:val="0"/>
          <w:numId w:val="1"/>
        </w:numPr>
        <w:spacing w:after="80"/>
      </w:pPr>
      <w:r>
        <w:rPr>
          <w:color w:val="1F2937"/>
          <w:sz w:val="21"/>
          <w:szCs w:val="21"/>
        </w:rPr>
        <w:t xml:space="preserve">Card 2: Current period — Mahadasha + Antardasha planet names, time remaining, one-line meaning</w:t>
      </w:r>
    </w:p>
    <w:p>
      <w:pPr>
        <w:pStyle w:val="ListParagraph"/>
        <w:numPr>
          <w:ilvl w:val="0"/>
          <w:numId w:val="1"/>
        </w:numPr>
        <w:spacing w:after="80"/>
      </w:pPr>
      <w:r>
        <w:rPr>
          <w:color w:val="1F2937"/>
          <w:sz w:val="21"/>
          <w:szCs w:val="21"/>
        </w:rPr>
        <w:t xml:space="preserve">Card 3: Weekly highlight — one upcoming event worth knowing (transit, Dasha change)</w:t>
      </w:r>
    </w:p>
    <w:p>
      <w:pPr>
        <w:pStyle w:val="ListParagraph"/>
        <w:numPr>
          <w:ilvl w:val="0"/>
          <w:numId w:val="1"/>
        </w:numPr>
        <w:spacing w:after="80"/>
      </w:pPr>
      <w:r>
        <w:rPr>
          <w:color w:val="1F2937"/>
          <w:sz w:val="21"/>
          <w:szCs w:val="21"/>
        </w:rPr>
        <w:t xml:space="preserve">Bottom nav: Home / Kundli / Ask / Profile</w:t>
      </w:r>
    </w:p>
    <w:p>
      <w:pPr>
        <w:spacing w:after="120"/>
      </w:pPr>
      <w:r>
        <w:t xml:space="preserve"/>
      </w:r>
    </w:p>
    <w:p>
      <w:pPr>
        <w:pStyle w:val="Heading2"/>
        <w:spacing w:after="120" w:before="280"/>
      </w:pPr>
      <w:r>
        <w:t xml:space="preserve">Kundli screen</w:t>
      </w:r>
    </w:p>
    <w:p>
      <w:pPr>
        <w:pStyle w:val="ListParagraph"/>
        <w:numPr>
          <w:ilvl w:val="0"/>
          <w:numId w:val="1"/>
        </w:numPr>
        <w:spacing w:after="80"/>
      </w:pPr>
      <w:r>
        <w:rPr>
          <w:color w:val="1F2937"/>
          <w:sz w:val="21"/>
          <w:szCs w:val="21"/>
        </w:rPr>
        <w:t xml:space="preserve">North Indian chart diagram (SVG) with planets in houses</w:t>
      </w:r>
    </w:p>
    <w:p>
      <w:pPr>
        <w:pStyle w:val="ListParagraph"/>
        <w:numPr>
          <w:ilvl w:val="0"/>
          <w:numId w:val="1"/>
        </w:numPr>
        <w:spacing w:after="80"/>
      </w:pPr>
      <w:r>
        <w:rPr>
          <w:color w:val="1F2937"/>
          <w:sz w:val="21"/>
          <w:szCs w:val="21"/>
        </w:rPr>
        <w:t xml:space="preserve">Tabs: Chart / Planets / Houses / Dashas / Yogas</w:t>
      </w:r>
    </w:p>
    <w:p>
      <w:pPr>
        <w:pStyle w:val="ListParagraph"/>
        <w:numPr>
          <w:ilvl w:val="0"/>
          <w:numId w:val="1"/>
        </w:numPr>
        <w:spacing w:after="80"/>
      </w:pPr>
      <w:r>
        <w:rPr>
          <w:color w:val="1F2937"/>
          <w:sz w:val="21"/>
          <w:szCs w:val="21"/>
        </w:rPr>
        <w:t xml:space="preserve">Each tab shows data first (free) and AI interpretation locked behind paywall</w:t>
      </w:r>
    </w:p>
    <w:p>
      <w:pPr>
        <w:pStyle w:val="ListParagraph"/>
        <w:numPr>
          <w:ilvl w:val="0"/>
          <w:numId w:val="1"/>
        </w:numPr>
        <w:spacing w:after="80"/>
      </w:pPr>
      <w:r>
        <w:rPr>
          <w:color w:val="1F2937"/>
          <w:sz w:val="21"/>
          <w:szCs w:val="21"/>
        </w:rPr>
        <w:t xml:space="preserve">'What does this mean?' CTA on each section → triggers AI reading (paid)</w:t>
      </w:r>
    </w:p>
    <w:p>
      <w:pPr>
        <w:spacing w:after="120"/>
      </w:pPr>
      <w:r>
        <w:t xml:space="preserve"/>
      </w:r>
    </w:p>
    <w:p>
      <w:pPr>
        <w:pStyle w:val="Heading2"/>
        <w:spacing w:after="120" w:before="280"/>
      </w:pPr>
      <w:r>
        <w:t xml:space="preserve">Ask screen (Phase 2 free, Phase 1 paid)</w:t>
      </w:r>
    </w:p>
    <w:p>
      <w:pPr>
        <w:pStyle w:val="ListParagraph"/>
        <w:numPr>
          <w:ilvl w:val="0"/>
          <w:numId w:val="1"/>
        </w:numPr>
        <w:spacing w:after="80"/>
      </w:pPr>
      <w:r>
        <w:rPr>
          <w:color w:val="1F2937"/>
          <w:sz w:val="21"/>
          <w:szCs w:val="21"/>
        </w:rPr>
        <w:t xml:space="preserve">Open text field: 'Ask anything about your chart'</w:t>
      </w:r>
    </w:p>
    <w:p>
      <w:pPr>
        <w:pStyle w:val="ListParagraph"/>
        <w:numPr>
          <w:ilvl w:val="0"/>
          <w:numId w:val="1"/>
        </w:numPr>
        <w:spacing w:after="80"/>
      </w:pPr>
      <w:r>
        <w:rPr>
          <w:color w:val="1F2937"/>
          <w:sz w:val="21"/>
          <w:szCs w:val="21"/>
        </w:rPr>
        <w:t xml:space="preserve">Suggested questions: 'When is a good time to change jobs?', 'What does my 7th house say about marriage?', 'What should I know about this year?'</w:t>
      </w:r>
    </w:p>
    <w:p>
      <w:pPr>
        <w:pStyle w:val="ListParagraph"/>
        <w:numPr>
          <w:ilvl w:val="0"/>
          <w:numId w:val="1"/>
        </w:numPr>
        <w:spacing w:after="80"/>
      </w:pPr>
      <w:r>
        <w:rPr>
          <w:color w:val="1F2937"/>
          <w:sz w:val="21"/>
          <w:szCs w:val="21"/>
        </w:rPr>
        <w:t xml:space="preserve">Response: Streamed AI interpretation referencing their specific chart</w:t>
      </w:r>
    </w:p>
    <w:p>
      <w:pPr>
        <w:pStyle w:val="ListParagraph"/>
        <w:numPr>
          <w:ilvl w:val="0"/>
          <w:numId w:val="1"/>
        </w:numPr>
        <w:spacing w:after="80"/>
      </w:pPr>
      <w:r>
        <w:rPr>
          <w:color w:val="1F2937"/>
          <w:sz w:val="21"/>
          <w:szCs w:val="21"/>
        </w:rPr>
        <w:t xml:space="preserve">Usage limit: 3 questions/month free; unlimited on paid tier</w:t>
      </w:r>
    </w:p>
    <w:p>
      <w:pPr>
        <w:spacing w:after="240"/>
      </w:pPr>
      <w:r>
        <w:t xml:space="preserve"/>
      </w:r>
    </w:p>
    <w:p>
      <w:pPr>
        <w:pBdr>
          <w:bottom w:val="single" w:color="E5E7EB" w:sz="4"/>
        </w:pBdr>
        <w:spacing w:after="200" w:before="100"/>
      </w:pPr>
      <w:r>
        <w:t xml:space="preserve"/>
      </w:r>
    </w:p>
    <w:p>
      <w:pPr>
        <w:pStyle w:val="Heading1"/>
        <w:spacing w:after="120" w:before="400"/>
      </w:pPr>
      <w:r>
        <w:t xml:space="preserve">Monetisation and paywall</w:t>
      </w:r>
    </w:p>
    <w:p>
      <w:pPr>
        <w:spacing w:after="80"/>
      </w:pPr>
      <w:r>
        <w:t xml:space="preserve"/>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Feature</w:t>
            </w:r>
          </w:p>
        </w:tc>
        <w:tc>
          <w:tcPr>
            <w:tcW w:type="dxa" w:w="4620"/>
            <w:shd w:fill="F3F4F6" w:val="clear"/>
            <w:tcMar>
              <w:top w:type="dxa" w:w="100"/>
              <w:left w:type="dxa" w:w="160"/>
              <w:bottom w:type="dxa" w:w="100"/>
              <w:right w:type="dxa" w:w="160"/>
            </w:tcMar>
          </w:tcPr>
          <w:p>
            <w:r>
              <w:rPr>
                <w:b/>
                <w:bCs/>
                <w:color w:val="1F2937"/>
                <w:sz w:val="20"/>
                <w:szCs w:val="20"/>
              </w:rPr>
              <w:t xml:space="preserve">Access</w:t>
            </w:r>
          </w:p>
        </w:tc>
      </w:tr>
      <w:tr>
        <w:tc>
          <w:tcPr>
            <w:tcW w:type="dxa" w:w="4620"/>
            <w:tcMar>
              <w:top w:type="dxa" w:w="100"/>
              <w:left w:type="dxa" w:w="160"/>
              <w:bottom w:type="dxa" w:w="100"/>
              <w:right w:type="dxa" w:w="160"/>
            </w:tcMar>
          </w:tcPr>
          <w:p>
            <w:pPr>
              <w:spacing w:after="0"/>
            </w:pPr>
            <w:r>
              <w:rPr>
                <w:color w:val="1F2937"/>
                <w:sz w:val="20"/>
                <w:szCs w:val="20"/>
              </w:rPr>
              <w:t xml:space="preserve">Feature</w:t>
            </w:r>
          </w:p>
        </w:tc>
        <w:tc>
          <w:tcPr>
            <w:tcW w:type="dxa" w:w="4620"/>
            <w:tcMar>
              <w:top w:type="dxa" w:w="100"/>
              <w:left w:type="dxa" w:w="160"/>
              <w:bottom w:type="dxa" w:w="100"/>
              <w:right w:type="dxa" w:w="160"/>
            </w:tcMar>
          </w:tcPr>
          <w:p>
            <w:pPr>
              <w:spacing w:after="0"/>
            </w:pPr>
            <w:r>
              <w:rPr>
                <w:color w:val="1F2937"/>
                <w:sz w:val="20"/>
                <w:szCs w:val="20"/>
              </w:rPr>
              <w:t xml:space="preserve">Free / Paid</w:t>
            </w:r>
          </w:p>
        </w:tc>
      </w:tr>
      <w:tr>
        <w:tc>
          <w:tcPr>
            <w:tcW w:type="dxa" w:w="4620"/>
            <w:tcMar>
              <w:top w:type="dxa" w:w="100"/>
              <w:left w:type="dxa" w:w="160"/>
              <w:bottom w:type="dxa" w:w="100"/>
              <w:right w:type="dxa" w:w="160"/>
            </w:tcMar>
          </w:tcPr>
          <w:p>
            <w:pPr>
              <w:spacing w:after="0"/>
            </w:pPr>
            <w:r>
              <w:rPr>
                <w:color w:val="1F2937"/>
                <w:sz w:val="20"/>
                <w:szCs w:val="20"/>
              </w:rPr>
              <w:t xml:space="preserve">Kundli chart generation</w:t>
            </w:r>
          </w:p>
        </w:tc>
        <w:tc>
          <w:tcPr>
            <w:tcW w:type="dxa" w:w="4620"/>
            <w:tcMar>
              <w:top w:type="dxa" w:w="100"/>
              <w:left w:type="dxa" w:w="160"/>
              <w:bottom w:type="dxa" w:w="100"/>
              <w:right w:type="dxa" w:w="160"/>
            </w:tcMar>
          </w:tcPr>
          <w:p>
            <w:pPr>
              <w:spacing w:after="0"/>
            </w:pPr>
            <w:r>
              <w:rPr>
                <w:color w:val="1F2937"/>
                <w:sz w:val="20"/>
                <w:szCs w:val="20"/>
              </w:rPr>
              <w:t xml:space="preserve">Free</w:t>
            </w:r>
          </w:p>
        </w:tc>
      </w:tr>
      <w:tr>
        <w:tc>
          <w:tcPr>
            <w:tcW w:type="dxa" w:w="4620"/>
            <w:tcMar>
              <w:top w:type="dxa" w:w="100"/>
              <w:left w:type="dxa" w:w="160"/>
              <w:bottom w:type="dxa" w:w="100"/>
              <w:right w:type="dxa" w:w="160"/>
            </w:tcMar>
          </w:tcPr>
          <w:p>
            <w:pPr>
              <w:spacing w:after="0"/>
            </w:pPr>
            <w:r>
              <w:rPr>
                <w:color w:val="1F2937"/>
                <w:sz w:val="20"/>
                <w:szCs w:val="20"/>
              </w:rPr>
              <w:t xml:space="preserve">Planet + house positions (raw data)</w:t>
            </w:r>
          </w:p>
        </w:tc>
        <w:tc>
          <w:tcPr>
            <w:tcW w:type="dxa" w:w="4620"/>
            <w:tcMar>
              <w:top w:type="dxa" w:w="100"/>
              <w:left w:type="dxa" w:w="160"/>
              <w:bottom w:type="dxa" w:w="100"/>
              <w:right w:type="dxa" w:w="160"/>
            </w:tcMar>
          </w:tcPr>
          <w:p>
            <w:pPr>
              <w:spacing w:after="0"/>
            </w:pPr>
            <w:r>
              <w:rPr>
                <w:color w:val="1F2937"/>
                <w:sz w:val="20"/>
                <w:szCs w:val="20"/>
              </w:rPr>
              <w:t xml:space="preserve">Free</w:t>
            </w:r>
          </w:p>
        </w:tc>
      </w:tr>
      <w:tr>
        <w:tc>
          <w:tcPr>
            <w:tcW w:type="dxa" w:w="4620"/>
            <w:tcMar>
              <w:top w:type="dxa" w:w="100"/>
              <w:left w:type="dxa" w:w="160"/>
              <w:bottom w:type="dxa" w:w="100"/>
              <w:right w:type="dxa" w:w="160"/>
            </w:tcMar>
          </w:tcPr>
          <w:p>
            <w:pPr>
              <w:spacing w:after="0"/>
            </w:pPr>
            <w:r>
              <w:rPr>
                <w:color w:val="1F2937"/>
                <w:sz w:val="20"/>
                <w:szCs w:val="20"/>
              </w:rPr>
              <w:t xml:space="preserve">Nakshatra and Rashi summary</w:t>
            </w:r>
          </w:p>
        </w:tc>
        <w:tc>
          <w:tcPr>
            <w:tcW w:type="dxa" w:w="4620"/>
            <w:tcMar>
              <w:top w:type="dxa" w:w="100"/>
              <w:left w:type="dxa" w:w="160"/>
              <w:bottom w:type="dxa" w:w="100"/>
              <w:right w:type="dxa" w:w="160"/>
            </w:tcMar>
          </w:tcPr>
          <w:p>
            <w:pPr>
              <w:spacing w:after="0"/>
            </w:pPr>
            <w:r>
              <w:rPr>
                <w:color w:val="1F2937"/>
                <w:sz w:val="20"/>
                <w:szCs w:val="20"/>
              </w:rPr>
              <w:t xml:space="preserve">Free</w:t>
            </w:r>
          </w:p>
        </w:tc>
      </w:tr>
      <w:tr>
        <w:tc>
          <w:tcPr>
            <w:tcW w:type="dxa" w:w="4620"/>
            <w:tcMar>
              <w:top w:type="dxa" w:w="100"/>
              <w:left w:type="dxa" w:w="160"/>
              <w:bottom w:type="dxa" w:w="100"/>
              <w:right w:type="dxa" w:w="160"/>
            </w:tcMar>
          </w:tcPr>
          <w:p>
            <w:pPr>
              <w:spacing w:after="0"/>
            </w:pPr>
            <w:r>
              <w:rPr>
                <w:color w:val="1F2937"/>
                <w:sz w:val="20"/>
                <w:szCs w:val="20"/>
              </w:rPr>
              <w:t xml:space="preserve">Current Dasha period name</w:t>
            </w:r>
          </w:p>
        </w:tc>
        <w:tc>
          <w:tcPr>
            <w:tcW w:type="dxa" w:w="4620"/>
            <w:tcMar>
              <w:top w:type="dxa" w:w="100"/>
              <w:left w:type="dxa" w:w="160"/>
              <w:bottom w:type="dxa" w:w="100"/>
              <w:right w:type="dxa" w:w="160"/>
            </w:tcMar>
          </w:tcPr>
          <w:p>
            <w:pPr>
              <w:spacing w:after="0"/>
            </w:pPr>
            <w:r>
              <w:rPr>
                <w:color w:val="1F2937"/>
                <w:sz w:val="20"/>
                <w:szCs w:val="20"/>
              </w:rPr>
              <w:t xml:space="preserve">Free</w:t>
            </w:r>
          </w:p>
        </w:tc>
      </w:tr>
      <w:tr>
        <w:tc>
          <w:tcPr>
            <w:tcW w:type="dxa" w:w="4620"/>
            <w:tcMar>
              <w:top w:type="dxa" w:w="100"/>
              <w:left w:type="dxa" w:w="160"/>
              <w:bottom w:type="dxa" w:w="100"/>
              <w:right w:type="dxa" w:w="160"/>
            </w:tcMar>
          </w:tcPr>
          <w:p>
            <w:pPr>
              <w:spacing w:after="0"/>
            </w:pPr>
            <w:r>
              <w:rPr>
                <w:color w:val="1F2937"/>
                <w:sz w:val="20"/>
                <w:szCs w:val="20"/>
              </w:rPr>
              <w:t xml:space="preserve">AI interpretation of any section</w:t>
            </w:r>
          </w:p>
        </w:tc>
        <w:tc>
          <w:tcPr>
            <w:tcW w:type="dxa" w:w="4620"/>
            <w:tcMar>
              <w:top w:type="dxa" w:w="100"/>
              <w:left w:type="dxa" w:w="160"/>
              <w:bottom w:type="dxa" w:w="100"/>
              <w:right w:type="dxa" w:w="160"/>
            </w:tcMar>
          </w:tcPr>
          <w:p>
            <w:pPr>
              <w:spacing w:after="0"/>
            </w:pPr>
            <w:r>
              <w:rPr>
                <w:color w:val="1F2937"/>
                <w:sz w:val="20"/>
                <w:szCs w:val="20"/>
              </w:rPr>
              <w:t xml:space="preserve">Paid</w:t>
            </w:r>
          </w:p>
        </w:tc>
      </w:tr>
      <w:tr>
        <w:tc>
          <w:tcPr>
            <w:tcW w:type="dxa" w:w="4620"/>
            <w:tcMar>
              <w:top w:type="dxa" w:w="100"/>
              <w:left w:type="dxa" w:w="160"/>
              <w:bottom w:type="dxa" w:w="100"/>
              <w:right w:type="dxa" w:w="160"/>
            </w:tcMar>
          </w:tcPr>
          <w:p>
            <w:pPr>
              <w:spacing w:after="0"/>
            </w:pPr>
            <w:r>
              <w:rPr>
                <w:color w:val="1F2937"/>
                <w:sz w:val="20"/>
                <w:szCs w:val="20"/>
              </w:rPr>
              <w:t xml:space="preserve">Daily personalised reading</w:t>
            </w:r>
          </w:p>
        </w:tc>
        <w:tc>
          <w:tcPr>
            <w:tcW w:type="dxa" w:w="4620"/>
            <w:tcMar>
              <w:top w:type="dxa" w:w="100"/>
              <w:left w:type="dxa" w:w="160"/>
              <w:bottom w:type="dxa" w:w="100"/>
              <w:right w:type="dxa" w:w="160"/>
            </w:tcMar>
          </w:tcPr>
          <w:p>
            <w:pPr>
              <w:spacing w:after="0"/>
            </w:pPr>
            <w:r>
              <w:rPr>
                <w:color w:val="1F2937"/>
                <w:sz w:val="20"/>
                <w:szCs w:val="20"/>
              </w:rPr>
              <w:t xml:space="preserve">Paid (₹99/mo)</w:t>
            </w:r>
          </w:p>
        </w:tc>
      </w:tr>
      <w:tr>
        <w:tc>
          <w:tcPr>
            <w:tcW w:type="dxa" w:w="4620"/>
            <w:tcMar>
              <w:top w:type="dxa" w:w="100"/>
              <w:left w:type="dxa" w:w="160"/>
              <w:bottom w:type="dxa" w:w="100"/>
              <w:right w:type="dxa" w:w="160"/>
            </w:tcMar>
          </w:tcPr>
          <w:p>
            <w:pPr>
              <w:spacing w:after="0"/>
            </w:pPr>
            <w:r>
              <w:rPr>
                <w:color w:val="1F2937"/>
                <w:sz w:val="20"/>
                <w:szCs w:val="20"/>
              </w:rPr>
              <w:t xml:space="preserve">Weekly forecast</w:t>
            </w:r>
          </w:p>
        </w:tc>
        <w:tc>
          <w:tcPr>
            <w:tcW w:type="dxa" w:w="4620"/>
            <w:tcMar>
              <w:top w:type="dxa" w:w="100"/>
              <w:left w:type="dxa" w:w="160"/>
              <w:bottom w:type="dxa" w:w="100"/>
              <w:right w:type="dxa" w:w="160"/>
            </w:tcMar>
          </w:tcPr>
          <w:p>
            <w:pPr>
              <w:spacing w:after="0"/>
            </w:pPr>
            <w:r>
              <w:rPr>
                <w:color w:val="1F2937"/>
                <w:sz w:val="20"/>
                <w:szCs w:val="20"/>
              </w:rPr>
              <w:t xml:space="preserve">Paid (₹99/mo)</w:t>
            </w:r>
          </w:p>
        </w:tc>
      </w:tr>
      <w:tr>
        <w:tc>
          <w:tcPr>
            <w:tcW w:type="dxa" w:w="4620"/>
            <w:tcMar>
              <w:top w:type="dxa" w:w="100"/>
              <w:left w:type="dxa" w:w="160"/>
              <w:bottom w:type="dxa" w:w="100"/>
              <w:right w:type="dxa" w:w="160"/>
            </w:tcMar>
          </w:tcPr>
          <w:p>
            <w:pPr>
              <w:spacing w:after="0"/>
            </w:pPr>
            <w:r>
              <w:rPr>
                <w:color w:val="1F2937"/>
                <w:sz w:val="20"/>
                <w:szCs w:val="20"/>
              </w:rPr>
              <w:t xml:space="preserve">Ask-anything AI chat (3/mo free)</w:t>
            </w:r>
          </w:p>
        </w:tc>
        <w:tc>
          <w:tcPr>
            <w:tcW w:type="dxa" w:w="4620"/>
            <w:tcMar>
              <w:top w:type="dxa" w:w="100"/>
              <w:left w:type="dxa" w:w="160"/>
              <w:bottom w:type="dxa" w:w="100"/>
              <w:right w:type="dxa" w:w="160"/>
            </w:tcMar>
          </w:tcPr>
          <w:p>
            <w:pPr>
              <w:spacing w:after="0"/>
            </w:pPr>
            <w:r>
              <w:rPr>
                <w:color w:val="1F2937"/>
                <w:sz w:val="20"/>
                <w:szCs w:val="20"/>
              </w:rPr>
              <w:t xml:space="preserve">3 free; unlimited paid</w:t>
            </w:r>
          </w:p>
        </w:tc>
      </w:tr>
      <w:tr>
        <w:tc>
          <w:tcPr>
            <w:tcW w:type="dxa" w:w="4620"/>
            <w:tcMar>
              <w:top w:type="dxa" w:w="100"/>
              <w:left w:type="dxa" w:w="160"/>
              <w:bottom w:type="dxa" w:w="100"/>
              <w:right w:type="dxa" w:w="160"/>
            </w:tcMar>
          </w:tcPr>
          <w:p>
            <w:pPr>
              <w:spacing w:after="0"/>
            </w:pPr>
            <w:r>
              <w:rPr>
                <w:color w:val="1F2937"/>
                <w:sz w:val="20"/>
                <w:szCs w:val="20"/>
              </w:rPr>
              <w:t xml:space="preserve">Kundli Milan / compatibility</w:t>
            </w:r>
          </w:p>
        </w:tc>
        <w:tc>
          <w:tcPr>
            <w:tcW w:type="dxa" w:w="4620"/>
            <w:tcMar>
              <w:top w:type="dxa" w:w="100"/>
              <w:left w:type="dxa" w:w="160"/>
              <w:bottom w:type="dxa" w:w="100"/>
              <w:right w:type="dxa" w:w="160"/>
            </w:tcMar>
          </w:tcPr>
          <w:p>
            <w:pPr>
              <w:spacing w:after="0"/>
            </w:pPr>
            <w:r>
              <w:rPr>
                <w:color w:val="1F2937"/>
                <w:sz w:val="20"/>
                <w:szCs w:val="20"/>
              </w:rPr>
              <w:t xml:space="preserve">Paid (₹199/mo)</w:t>
            </w:r>
          </w:p>
        </w:tc>
      </w:tr>
      <w:tr>
        <w:tc>
          <w:tcPr>
            <w:tcW w:type="dxa" w:w="4620"/>
            <w:tcMar>
              <w:top w:type="dxa" w:w="100"/>
              <w:left w:type="dxa" w:w="160"/>
              <w:bottom w:type="dxa" w:w="100"/>
              <w:right w:type="dxa" w:w="160"/>
            </w:tcMar>
          </w:tcPr>
          <w:p>
            <w:pPr>
              <w:spacing w:after="0"/>
            </w:pPr>
            <w:r>
              <w:rPr>
                <w:color w:val="1F2937"/>
                <w:sz w:val="20"/>
                <w:szCs w:val="20"/>
              </w:rPr>
              <w:t xml:space="preserve">Muhurta auspicious timing</w:t>
            </w:r>
          </w:p>
        </w:tc>
        <w:tc>
          <w:tcPr>
            <w:tcW w:type="dxa" w:w="4620"/>
            <w:tcMar>
              <w:top w:type="dxa" w:w="100"/>
              <w:left w:type="dxa" w:w="160"/>
              <w:bottom w:type="dxa" w:w="100"/>
              <w:right w:type="dxa" w:w="160"/>
            </w:tcMar>
          </w:tcPr>
          <w:p>
            <w:pPr>
              <w:spacing w:after="0"/>
            </w:pPr>
            <w:r>
              <w:rPr>
                <w:color w:val="1F2937"/>
                <w:sz w:val="20"/>
                <w:szCs w:val="20"/>
              </w:rPr>
              <w:t xml:space="preserve">Paid (₹499 one-time or ₹199/mo)</w:t>
            </w:r>
          </w:p>
        </w:tc>
      </w:tr>
      <w:tr>
        <w:tc>
          <w:tcPr>
            <w:tcW w:type="dxa" w:w="4620"/>
            <w:tcMar>
              <w:top w:type="dxa" w:w="100"/>
              <w:left w:type="dxa" w:w="160"/>
              <w:bottom w:type="dxa" w:w="100"/>
              <w:right w:type="dxa" w:w="160"/>
            </w:tcMar>
          </w:tcPr>
          <w:p>
            <w:pPr>
              <w:spacing w:after="0"/>
            </w:pPr>
            <w:r>
              <w:rPr>
                <w:color w:val="1F2937"/>
                <w:sz w:val="20"/>
                <w:szCs w:val="20"/>
              </w:rPr>
              <w:t xml:space="preserve">Annual Varshaphal report</w:t>
            </w:r>
          </w:p>
        </w:tc>
        <w:tc>
          <w:tcPr>
            <w:tcW w:type="dxa" w:w="4620"/>
            <w:tcMar>
              <w:top w:type="dxa" w:w="100"/>
              <w:left w:type="dxa" w:w="160"/>
              <w:bottom w:type="dxa" w:w="100"/>
              <w:right w:type="dxa" w:w="160"/>
            </w:tcMar>
          </w:tcPr>
          <w:p>
            <w:pPr>
              <w:spacing w:after="0"/>
            </w:pPr>
            <w:r>
              <w:rPr>
                <w:color w:val="1F2937"/>
                <w:sz w:val="20"/>
                <w:szCs w:val="20"/>
              </w:rPr>
              <w:t xml:space="preserve">₹499 one-time</w:t>
            </w:r>
          </w:p>
        </w:tc>
      </w:tr>
    </w:tbl>
    <w:p>
      <w:pPr>
        <w:spacing w:after="180"/>
      </w:pPr>
      <w:r>
        <w:t xml:space="preserve"/>
      </w:r>
    </w:p>
    <w:p>
      <w:pPr>
        <w:pStyle w:val="Heading2"/>
        <w:spacing w:after="120" w:before="280"/>
      </w:pPr>
      <w:r>
        <w:t xml:space="preserve">Paywall trigger points</w:t>
      </w:r>
    </w:p>
    <w:p>
      <w:pPr>
        <w:pStyle w:val="ListParagraph"/>
        <w:numPr>
          <w:ilvl w:val="0"/>
          <w:numId w:val="1"/>
        </w:numPr>
        <w:spacing w:after="80"/>
      </w:pPr>
      <w:r>
        <w:rPr>
          <w:color w:val="1F2937"/>
          <w:sz w:val="21"/>
          <w:szCs w:val="21"/>
        </w:rPr>
        <w:t xml:space="preserve">After viewing raw chart data: 'Understand what this means for you →'</w:t>
      </w:r>
    </w:p>
    <w:p>
      <w:pPr>
        <w:pStyle w:val="ListParagraph"/>
        <w:numPr>
          <w:ilvl w:val="0"/>
          <w:numId w:val="1"/>
        </w:numPr>
        <w:spacing w:after="80"/>
      </w:pPr>
      <w:r>
        <w:rPr>
          <w:color w:val="1F2937"/>
          <w:sz w:val="21"/>
          <w:szCs w:val="21"/>
        </w:rPr>
        <w:t xml:space="preserve">After 3rd Ask question in a month</w:t>
      </w:r>
    </w:p>
    <w:p>
      <w:pPr>
        <w:pStyle w:val="ListParagraph"/>
        <w:numPr>
          <w:ilvl w:val="0"/>
          <w:numId w:val="1"/>
        </w:numPr>
        <w:spacing w:after="80"/>
      </w:pPr>
      <w:r>
        <w:rPr>
          <w:color w:val="1F2937"/>
          <w:sz w:val="21"/>
          <w:szCs w:val="21"/>
        </w:rPr>
        <w:t xml:space="preserve">When tapping any locked AI interpretation section</w:t>
      </w:r>
    </w:p>
    <w:p>
      <w:pPr>
        <w:pStyle w:val="ListParagraph"/>
        <w:numPr>
          <w:ilvl w:val="0"/>
          <w:numId w:val="1"/>
        </w:numPr>
        <w:spacing w:after="80"/>
      </w:pPr>
      <w:r>
        <w:rPr>
          <w:color w:val="1F2937"/>
          <w:sz w:val="21"/>
          <w:szCs w:val="21"/>
        </w:rPr>
        <w:t xml:space="preserve">7 days after onboarding via push notification if not converted</w:t>
      </w:r>
    </w:p>
    <w:p>
      <w:pPr>
        <w:spacing w:after="240"/>
      </w:pPr>
      <w:r>
        <w:t xml:space="preserve"/>
      </w:r>
    </w:p>
    <w:p>
      <w:pPr>
        <w:pBdr>
          <w:bottom w:val="single" w:color="E5E7EB" w:sz="4"/>
        </w:pBdr>
        <w:spacing w:after="200" w:before="100"/>
      </w:pPr>
      <w:r>
        <w:t xml:space="preserve"/>
      </w:r>
    </w:p>
    <w:p>
      <w:pPr>
        <w:pStyle w:val="Heading1"/>
        <w:spacing w:after="120" w:before="400"/>
      </w:pPr>
      <w:r>
        <w:t xml:space="preserve">AI output guardrails</w:t>
      </w:r>
    </w:p>
    <w:p>
      <w:pPr>
        <w:spacing w:after="80"/>
      </w:pPr>
      <w:r>
        <w:t xml:space="preserve"/>
      </w:r>
    </w:p>
    <w:p>
      <w:pPr>
        <w:spacing w:after="140"/>
      </w:pPr>
      <w:r>
        <w:rPr>
          <w:color w:val="1F2937"/>
          <w:sz w:val="22"/>
          <w:szCs w:val="22"/>
        </w:rPr>
        <w:t xml:space="preserve">These are non-negotiable. Build them into the system prompt and add output validation before returning to the client.</w:t>
      </w:r>
    </w:p>
    <w:p>
      <w:pPr>
        <w:spacing w:after="10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240"/>
      </w:tblGrid>
      <w:tr>
        <w:tc>
          <w:tcPr>
            <w:tcW w:type="dxa" w:w="9240"/>
            <w:shd w:fill="CCFBF1" w:val="clear"/>
            <w:tcMar>
              <w:top w:type="dxa" w:w="160"/>
              <w:left w:type="dxa" w:w="200"/>
              <w:bottom w:type="dxa" w:w="160"/>
              <w:right w:type="dxa" w:w="200"/>
            </w:tcMar>
          </w:tcPr>
          <w:p>
            <w:pPr>
              <w:spacing w:after="80"/>
            </w:pPr>
            <w:r>
              <w:rPr>
                <w:b/>
                <w:bCs/>
                <w:color w:val="0F766E"/>
                <w:sz w:val="20"/>
                <w:szCs w:val="20"/>
              </w:rPr>
              <w:t xml:space="preserve">Tone rules — enforce in system prompt</w:t>
            </w:r>
          </w:p>
          <w:p>
            <w:pPr>
              <w:spacing w:after="60"/>
            </w:pPr>
            <w:r>
              <w:rPr>
                <w:color w:val="1F2937"/>
                <w:sz w:val="20"/>
                <w:szCs w:val="20"/>
              </w:rPr>
              <w:t xml:space="preserve">1. Never predict death, serious illness, or irreversible misfortune.</w:t>
            </w:r>
          </w:p>
          <w:p>
            <w:pPr>
              <w:spacing w:after="60"/>
            </w:pPr>
            <w:r>
              <w:rPr>
                <w:color w:val="1F2937"/>
                <w:sz w:val="20"/>
                <w:szCs w:val="20"/>
              </w:rPr>
              <w:t xml:space="preserve">2. Never state a negative outcome as certain — use probability language ('this period may bring challenges', not 'this will ruin your career').</w:t>
            </w:r>
          </w:p>
          <w:p>
            <w:pPr>
              <w:spacing w:after="60"/>
            </w:pPr>
            <w:r>
              <w:rPr>
                <w:color w:val="1F2937"/>
                <w:sz w:val="20"/>
                <w:szCs w:val="20"/>
              </w:rPr>
              <w:t xml:space="preserve">3. Always include an actionable element — what can the user do or be mindful of.</w:t>
            </w:r>
          </w:p>
          <w:p>
            <w:pPr>
              <w:spacing w:after="60"/>
            </w:pPr>
            <w:r>
              <w:rPr>
                <w:color w:val="1F2937"/>
                <w:sz w:val="20"/>
                <w:szCs w:val="20"/>
              </w:rPr>
              <w:t xml:space="preserve">4. Avoid jargon dumps — explain Vedic terms the first time they're used.</w:t>
            </w:r>
          </w:p>
          <w:p>
            <w:pPr>
              <w:spacing w:after="60"/>
            </w:pPr>
            <w:r>
              <w:rPr>
                <w:color w:val="1F2937"/>
                <w:sz w:val="20"/>
                <w:szCs w:val="20"/>
              </w:rPr>
              <w:t xml:space="preserve">5. Maximum reading length: 350 words for daily, 600 for domain-specific.</w:t>
            </w:r>
          </w:p>
        </w:tc>
      </w:tr>
    </w:tbl>
    <w:p>
      <w:pPr>
        <w:spacing w:after="180"/>
      </w:pPr>
      <w:r>
        <w:t xml:space="preserve"/>
      </w:r>
    </w:p>
    <w:p>
      <w:pPr>
        <w:pStyle w:val="Heading2"/>
        <w:spacing w:after="120" w:before="280"/>
      </w:pPr>
      <w:r>
        <w:t xml:space="preserve">Hallucination prevention</w:t>
      </w:r>
    </w:p>
    <w:p>
      <w:pPr>
        <w:pStyle w:val="ListParagraph"/>
        <w:numPr>
          <w:ilvl w:val="0"/>
          <w:numId w:val="1"/>
        </w:numPr>
        <w:spacing w:after="80"/>
      </w:pPr>
      <w:r>
        <w:rPr>
          <w:color w:val="1F2937"/>
          <w:sz w:val="21"/>
          <w:szCs w:val="21"/>
        </w:rPr>
        <w:t xml:space="preserve">Planetary positions in the prompt must come from the calculation engine JSON — never ask the LLM to calculate positions</w:t>
      </w:r>
    </w:p>
    <w:p>
      <w:pPr>
        <w:pStyle w:val="ListParagraph"/>
        <w:numPr>
          <w:ilvl w:val="0"/>
          <w:numId w:val="1"/>
        </w:numPr>
        <w:spacing w:after="80"/>
      </w:pPr>
      <w:r>
        <w:rPr>
          <w:color w:val="1F2937"/>
          <w:sz w:val="21"/>
          <w:szCs w:val="21"/>
        </w:rPr>
        <w:t xml:space="preserve">Add output validation: if LLM output references a planet in a house that doesn't match the chart JSON, flag and regenerate</w:t>
      </w:r>
    </w:p>
    <w:p>
      <w:pPr>
        <w:pStyle w:val="ListParagraph"/>
        <w:numPr>
          <w:ilvl w:val="0"/>
          <w:numId w:val="1"/>
        </w:numPr>
        <w:spacing w:after="80"/>
      </w:pPr>
      <w:r>
        <w:rPr>
          <w:color w:val="1F2937"/>
          <w:sz w:val="21"/>
          <w:szCs w:val="21"/>
        </w:rPr>
        <w:t xml:space="preserve">Show a 'View your chart data' link below every AI reading so users can verify positions themselves</w:t>
      </w:r>
    </w:p>
    <w:p>
      <w:pPr>
        <w:spacing w:after="240"/>
      </w:pPr>
      <w:r>
        <w:t xml:space="preserve"/>
      </w:r>
    </w:p>
    <w:p>
      <w:pPr>
        <w:pBdr>
          <w:bottom w:val="single" w:color="E5E7EB" w:sz="4"/>
        </w:pBdr>
        <w:spacing w:after="200" w:before="100"/>
      </w:pPr>
      <w:r>
        <w:t xml:space="preserve"/>
      </w:r>
    </w:p>
    <w:p>
      <w:pPr>
        <w:pStyle w:val="Heading1"/>
        <w:spacing w:after="120" w:before="400"/>
      </w:pPr>
      <w:r>
        <w:t xml:space="preserve">Edge cases and hard decisions</w:t>
      </w:r>
    </w:p>
    <w:p>
      <w:pPr>
        <w:spacing w:after="80"/>
      </w:pPr>
      <w:r>
        <w:t xml:space="preserve"/>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Edge case</w:t>
            </w:r>
          </w:p>
        </w:tc>
        <w:tc>
          <w:tcPr>
            <w:tcW w:type="dxa" w:w="4620"/>
            <w:shd w:fill="F3F4F6" w:val="clear"/>
            <w:tcMar>
              <w:top w:type="dxa" w:w="100"/>
              <w:left w:type="dxa" w:w="160"/>
              <w:bottom w:type="dxa" w:w="100"/>
              <w:right w:type="dxa" w:w="160"/>
            </w:tcMar>
          </w:tcPr>
          <w:p>
            <w:r>
              <w:rPr>
                <w:b/>
                <w:bCs/>
                <w:color w:val="1F2937"/>
                <w:sz w:val="20"/>
                <w:szCs w:val="20"/>
              </w:rPr>
              <w:t xml:space="preserve">Handling</w:t>
            </w:r>
          </w:p>
        </w:tc>
      </w:tr>
      <w:tr>
        <w:tc>
          <w:tcPr>
            <w:tcW w:type="dxa" w:w="4620"/>
            <w:tcMar>
              <w:top w:type="dxa" w:w="100"/>
              <w:left w:type="dxa" w:w="160"/>
              <w:bottom w:type="dxa" w:w="100"/>
              <w:right w:type="dxa" w:w="160"/>
            </w:tcMar>
          </w:tcPr>
          <w:p>
            <w:pPr>
              <w:spacing w:after="0"/>
            </w:pPr>
            <w:r>
              <w:rPr>
                <w:color w:val="1F2937"/>
                <w:sz w:val="20"/>
                <w:szCs w:val="20"/>
              </w:rPr>
              <w:t xml:space="preserve">Unknown birth time</w:t>
            </w:r>
          </w:p>
        </w:tc>
        <w:tc>
          <w:tcPr>
            <w:tcW w:type="dxa" w:w="4620"/>
            <w:tcMar>
              <w:top w:type="dxa" w:w="100"/>
              <w:left w:type="dxa" w:w="160"/>
              <w:bottom w:type="dxa" w:w="100"/>
              <w:right w:type="dxa" w:w="160"/>
            </w:tcMar>
          </w:tcPr>
          <w:p>
            <w:pPr>
              <w:spacing w:after="0"/>
            </w:pPr>
            <w:r>
              <w:rPr>
                <w:color w:val="1F2937"/>
                <w:sz w:val="20"/>
                <w:szCs w:val="20"/>
              </w:rPr>
              <w:t xml:space="preserve">Use noon default. Show persistent banner: 'Readings are approximate — birth time improves accuracy'. Lagna and house-based readings disabled.</w:t>
            </w:r>
          </w:p>
        </w:tc>
      </w:tr>
      <w:tr>
        <w:tc>
          <w:tcPr>
            <w:tcW w:type="dxa" w:w="4620"/>
            <w:tcMar>
              <w:top w:type="dxa" w:w="100"/>
              <w:left w:type="dxa" w:w="160"/>
              <w:bottom w:type="dxa" w:w="100"/>
              <w:right w:type="dxa" w:w="160"/>
            </w:tcMar>
          </w:tcPr>
          <w:p>
            <w:pPr>
              <w:spacing w:after="0"/>
            </w:pPr>
            <w:r>
              <w:rPr>
                <w:color w:val="1F2937"/>
                <w:sz w:val="20"/>
                <w:szCs w:val="20"/>
              </w:rPr>
              <w:t xml:space="preserve">Ayanamsa preference</w:t>
            </w:r>
          </w:p>
        </w:tc>
        <w:tc>
          <w:tcPr>
            <w:tcW w:type="dxa" w:w="4620"/>
            <w:tcMar>
              <w:top w:type="dxa" w:w="100"/>
              <w:left w:type="dxa" w:w="160"/>
              <w:bottom w:type="dxa" w:w="100"/>
              <w:right w:type="dxa" w:w="160"/>
            </w:tcMar>
          </w:tcPr>
          <w:p>
            <w:pPr>
              <w:spacing w:after="0"/>
            </w:pPr>
            <w:r>
              <w:rPr>
                <w:color w:val="1F2937"/>
                <w:sz w:val="20"/>
                <w:szCs w:val="20"/>
              </w:rPr>
              <w:t xml:space="preserve">Default Lahiri. Add setting under Profile → Chart preferences → Ayanamsa (Lahiri / Krishnamurti / Raman). Changing ayanamsa regenerates chart.</w:t>
            </w:r>
          </w:p>
        </w:tc>
      </w:tr>
      <w:tr>
        <w:tc>
          <w:tcPr>
            <w:tcW w:type="dxa" w:w="4620"/>
            <w:tcMar>
              <w:top w:type="dxa" w:w="100"/>
              <w:left w:type="dxa" w:w="160"/>
              <w:bottom w:type="dxa" w:w="100"/>
              <w:right w:type="dxa" w:w="160"/>
            </w:tcMar>
          </w:tcPr>
          <w:p>
            <w:pPr>
              <w:spacing w:after="0"/>
            </w:pPr>
            <w:r>
              <w:rPr>
                <w:color w:val="1F2937"/>
                <w:sz w:val="20"/>
                <w:szCs w:val="20"/>
              </w:rPr>
              <w:t xml:space="preserve">Contradicting Yogas</w:t>
            </w:r>
          </w:p>
        </w:tc>
        <w:tc>
          <w:tcPr>
            <w:tcW w:type="dxa" w:w="4620"/>
            <w:tcMar>
              <w:top w:type="dxa" w:w="100"/>
              <w:left w:type="dxa" w:w="160"/>
              <w:bottom w:type="dxa" w:w="100"/>
              <w:right w:type="dxa" w:w="160"/>
            </w:tcMar>
          </w:tcPr>
          <w:p>
            <w:pPr>
              <w:spacing w:after="0"/>
            </w:pPr>
            <w:r>
              <w:rPr>
                <w:color w:val="1F2937"/>
                <w:sz w:val="20"/>
                <w:szCs w:val="20"/>
              </w:rPr>
              <w:t xml:space="preserve">If a positive and negative Yoga both apply, the LLM synthesis prompt must weight them: 'Consider both influences and explain how they may modify each other.'</w:t>
            </w:r>
          </w:p>
        </w:tc>
      </w:tr>
      <w:tr>
        <w:tc>
          <w:tcPr>
            <w:tcW w:type="dxa" w:w="4620"/>
            <w:tcMar>
              <w:top w:type="dxa" w:w="100"/>
              <w:left w:type="dxa" w:w="160"/>
              <w:bottom w:type="dxa" w:w="100"/>
              <w:right w:type="dxa" w:w="160"/>
            </w:tcMar>
          </w:tcPr>
          <w:p>
            <w:pPr>
              <w:spacing w:after="0"/>
            </w:pPr>
            <w:r>
              <w:rPr>
                <w:color w:val="1F2937"/>
                <w:sz w:val="20"/>
                <w:szCs w:val="20"/>
              </w:rPr>
              <w:t xml:space="preserve">Retrograde planets</w:t>
            </w:r>
          </w:p>
        </w:tc>
        <w:tc>
          <w:tcPr>
            <w:tcW w:type="dxa" w:w="4620"/>
            <w:tcMar>
              <w:top w:type="dxa" w:w="100"/>
              <w:left w:type="dxa" w:w="160"/>
              <w:bottom w:type="dxa" w:w="100"/>
              <w:right w:type="dxa" w:w="160"/>
            </w:tcMar>
          </w:tcPr>
          <w:p>
            <w:pPr>
              <w:spacing w:after="0"/>
            </w:pPr>
            <w:r>
              <w:rPr>
                <w:color w:val="1F2937"/>
                <w:sz w:val="20"/>
                <w:szCs w:val="20"/>
              </w:rPr>
              <w:t xml:space="preserve">Flag retrograde planets (R symbol on chart). Include retrograde status in RAG retrieval query.</w:t>
            </w:r>
          </w:p>
        </w:tc>
      </w:tr>
      <w:tr>
        <w:tc>
          <w:tcPr>
            <w:tcW w:type="dxa" w:w="4620"/>
            <w:tcMar>
              <w:top w:type="dxa" w:w="100"/>
              <w:left w:type="dxa" w:w="160"/>
              <w:bottom w:type="dxa" w:w="100"/>
              <w:right w:type="dxa" w:w="160"/>
            </w:tcMar>
          </w:tcPr>
          <w:p>
            <w:pPr>
              <w:spacing w:after="0"/>
            </w:pPr>
            <w:r>
              <w:rPr>
                <w:color w:val="1F2937"/>
                <w:sz w:val="20"/>
                <w:szCs w:val="20"/>
              </w:rPr>
              <w:t xml:space="preserve">Rahu / Ketu</w:t>
            </w:r>
          </w:p>
        </w:tc>
        <w:tc>
          <w:tcPr>
            <w:tcW w:type="dxa" w:w="4620"/>
            <w:tcMar>
              <w:top w:type="dxa" w:w="100"/>
              <w:left w:type="dxa" w:w="160"/>
              <w:bottom w:type="dxa" w:w="100"/>
              <w:right w:type="dxa" w:w="160"/>
            </w:tcMar>
          </w:tcPr>
          <w:p>
            <w:pPr>
              <w:spacing w:after="0"/>
            </w:pPr>
            <w:r>
              <w:rPr>
                <w:color w:val="1F2937"/>
                <w:sz w:val="20"/>
                <w:szCs w:val="20"/>
              </w:rPr>
              <w:t xml:space="preserve">Always show as axis pair. Rahu in house N = Ketu in house N+6. Handle in chart generation logic, not LLM.</w:t>
            </w:r>
          </w:p>
        </w:tc>
      </w:tr>
      <w:tr>
        <w:tc>
          <w:tcPr>
            <w:tcW w:type="dxa" w:w="4620"/>
            <w:tcMar>
              <w:top w:type="dxa" w:w="100"/>
              <w:left w:type="dxa" w:w="160"/>
              <w:bottom w:type="dxa" w:w="100"/>
              <w:right w:type="dxa" w:w="160"/>
            </w:tcMar>
          </w:tcPr>
          <w:p>
            <w:pPr>
              <w:spacing w:after="0"/>
            </w:pPr>
            <w:r>
              <w:rPr>
                <w:color w:val="1F2937"/>
                <w:sz w:val="20"/>
                <w:szCs w:val="20"/>
              </w:rPr>
              <w:t xml:space="preserve">Date/time edge cases</w:t>
            </w:r>
          </w:p>
        </w:tc>
        <w:tc>
          <w:tcPr>
            <w:tcW w:type="dxa" w:w="4620"/>
            <w:tcMar>
              <w:top w:type="dxa" w:w="100"/>
              <w:left w:type="dxa" w:w="160"/>
              <w:bottom w:type="dxa" w:w="100"/>
              <w:right w:type="dxa" w:w="160"/>
            </w:tcMar>
          </w:tcPr>
          <w:p>
            <w:pPr>
              <w:spacing w:after="0"/>
            </w:pPr>
            <w:r>
              <w:rPr>
                <w:color w:val="1F2937"/>
                <w:sz w:val="20"/>
                <w:szCs w:val="20"/>
              </w:rPr>
              <w:t xml:space="preserve">Handle: daylight saving for NRI users (use birth city timezone at birth date, not current), dates before 1900 (Swiss Ephemeris handles back to 600 BC).</w:t>
            </w:r>
          </w:p>
        </w:tc>
      </w:tr>
    </w:tbl>
    <w:p>
      <w:pPr>
        <w:spacing w:after="240"/>
      </w:pPr>
      <w:r>
        <w:t xml:space="preserve"/>
      </w:r>
    </w:p>
    <w:p>
      <w:pPr>
        <w:pBdr>
          <w:bottom w:val="single" w:color="E5E7EB" w:sz="4"/>
        </w:pBdr>
        <w:spacing w:after="200" w:before="100"/>
      </w:pPr>
      <w:r>
        <w:t xml:space="preserve"/>
      </w:r>
    </w:p>
    <w:p>
      <w:pPr>
        <w:pStyle w:val="Heading1"/>
        <w:spacing w:after="120" w:before="400"/>
      </w:pPr>
      <w:r>
        <w:t xml:space="preserve">Success metrics — Phase 1</w:t>
      </w:r>
    </w:p>
    <w:p>
      <w:pPr>
        <w:spacing w:after="80"/>
      </w:pPr>
      <w:r>
        <w:t xml:space="preserve"/>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MAU at 3 months</w:t>
            </w:r>
          </w:p>
        </w:tc>
        <w:tc>
          <w:tcPr>
            <w:tcW w:type="dxa" w:w="4620"/>
            <w:tcMar>
              <w:top w:type="dxa" w:w="100"/>
              <w:left w:type="dxa" w:w="160"/>
              <w:bottom w:type="dxa" w:w="100"/>
              <w:right w:type="dxa" w:w="160"/>
            </w:tcMar>
          </w:tcPr>
          <w:p>
            <w:pPr>
              <w:spacing w:after="0"/>
            </w:pPr>
            <w:r>
              <w:rPr>
                <w:color w:val="1F2937"/>
                <w:sz w:val="20"/>
                <w:szCs w:val="20"/>
              </w:rPr>
              <w:t xml:space="preserve">50,000</w:t>
            </w:r>
          </w:p>
        </w:tc>
      </w:tr>
      <w:tr>
        <w:tc>
          <w:tcPr>
            <w:tcW w:type="dxa" w:w="4620"/>
            <w:tcMar>
              <w:top w:type="dxa" w:w="100"/>
              <w:left w:type="dxa" w:w="160"/>
              <w:bottom w:type="dxa" w:w="100"/>
              <w:right w:type="dxa" w:w="160"/>
            </w:tcMar>
          </w:tcPr>
          <w:p>
            <w:pPr>
              <w:spacing w:after="0"/>
            </w:pPr>
            <w:r>
              <w:rPr>
                <w:color w:val="1F2937"/>
                <w:sz w:val="20"/>
                <w:szCs w:val="20"/>
              </w:rPr>
              <w:t xml:space="preserve">MAU at 12 months</w:t>
            </w:r>
          </w:p>
        </w:tc>
        <w:tc>
          <w:tcPr>
            <w:tcW w:type="dxa" w:w="4620"/>
            <w:tcMar>
              <w:top w:type="dxa" w:w="100"/>
              <w:left w:type="dxa" w:w="160"/>
              <w:bottom w:type="dxa" w:w="100"/>
              <w:right w:type="dxa" w:w="160"/>
            </w:tcMar>
          </w:tcPr>
          <w:p>
            <w:pPr>
              <w:spacing w:after="0"/>
            </w:pPr>
            <w:r>
              <w:rPr>
                <w:color w:val="1F2937"/>
                <w:sz w:val="20"/>
                <w:szCs w:val="20"/>
              </w:rPr>
              <w:t xml:space="preserve">500,000</w:t>
            </w:r>
          </w:p>
        </w:tc>
      </w:tr>
      <w:tr>
        <w:tc>
          <w:tcPr>
            <w:tcW w:type="dxa" w:w="4620"/>
            <w:tcMar>
              <w:top w:type="dxa" w:w="100"/>
              <w:left w:type="dxa" w:w="160"/>
              <w:bottom w:type="dxa" w:w="100"/>
              <w:right w:type="dxa" w:w="160"/>
            </w:tcMar>
          </w:tcPr>
          <w:p>
            <w:pPr>
              <w:spacing w:after="0"/>
            </w:pPr>
            <w:r>
              <w:rPr>
                <w:color w:val="1F2937"/>
                <w:sz w:val="20"/>
                <w:szCs w:val="20"/>
              </w:rPr>
              <w:t xml:space="preserve">D7 retention</w:t>
            </w:r>
          </w:p>
        </w:tc>
        <w:tc>
          <w:tcPr>
            <w:tcW w:type="dxa" w:w="4620"/>
            <w:tcMar>
              <w:top w:type="dxa" w:w="100"/>
              <w:left w:type="dxa" w:w="160"/>
              <w:bottom w:type="dxa" w:w="100"/>
              <w:right w:type="dxa" w:w="160"/>
            </w:tcMar>
          </w:tcPr>
          <w:p>
            <w:pPr>
              <w:spacing w:after="0"/>
            </w:pPr>
            <w:r>
              <w:rPr>
                <w:color w:val="1F2937"/>
                <w:sz w:val="20"/>
                <w:szCs w:val="20"/>
              </w:rPr>
              <w:t xml:space="preserve">&gt; 35%</w:t>
            </w:r>
          </w:p>
        </w:tc>
      </w:tr>
      <w:tr>
        <w:tc>
          <w:tcPr>
            <w:tcW w:type="dxa" w:w="4620"/>
            <w:tcMar>
              <w:top w:type="dxa" w:w="100"/>
              <w:left w:type="dxa" w:w="160"/>
              <w:bottom w:type="dxa" w:w="100"/>
              <w:right w:type="dxa" w:w="160"/>
            </w:tcMar>
          </w:tcPr>
          <w:p>
            <w:pPr>
              <w:spacing w:after="0"/>
            </w:pPr>
            <w:r>
              <w:rPr>
                <w:color w:val="1F2937"/>
                <w:sz w:val="20"/>
                <w:szCs w:val="20"/>
              </w:rPr>
              <w:t xml:space="preserve">D30 retention</w:t>
            </w:r>
          </w:p>
        </w:tc>
        <w:tc>
          <w:tcPr>
            <w:tcW w:type="dxa" w:w="4620"/>
            <w:tcMar>
              <w:top w:type="dxa" w:w="100"/>
              <w:left w:type="dxa" w:w="160"/>
              <w:bottom w:type="dxa" w:w="100"/>
              <w:right w:type="dxa" w:w="160"/>
            </w:tcMar>
          </w:tcPr>
          <w:p>
            <w:pPr>
              <w:spacing w:after="0"/>
            </w:pPr>
            <w:r>
              <w:rPr>
                <w:color w:val="1F2937"/>
                <w:sz w:val="20"/>
                <w:szCs w:val="20"/>
              </w:rPr>
              <w:t xml:space="preserve">&gt; 18%</w:t>
            </w:r>
          </w:p>
        </w:tc>
      </w:tr>
      <w:tr>
        <w:tc>
          <w:tcPr>
            <w:tcW w:type="dxa" w:w="4620"/>
            <w:tcMar>
              <w:top w:type="dxa" w:w="100"/>
              <w:left w:type="dxa" w:w="160"/>
              <w:bottom w:type="dxa" w:w="100"/>
              <w:right w:type="dxa" w:w="160"/>
            </w:tcMar>
          </w:tcPr>
          <w:p>
            <w:pPr>
              <w:spacing w:after="0"/>
            </w:pPr>
            <w:r>
              <w:rPr>
                <w:color w:val="1F2937"/>
                <w:sz w:val="20"/>
                <w:szCs w:val="20"/>
              </w:rPr>
              <w:t xml:space="preserve">Free → paid conversion</w:t>
            </w:r>
          </w:p>
        </w:tc>
        <w:tc>
          <w:tcPr>
            <w:tcW w:type="dxa" w:w="4620"/>
            <w:tcMar>
              <w:top w:type="dxa" w:w="100"/>
              <w:left w:type="dxa" w:w="160"/>
              <w:bottom w:type="dxa" w:w="100"/>
              <w:right w:type="dxa" w:w="160"/>
            </w:tcMar>
          </w:tcPr>
          <w:p>
            <w:pPr>
              <w:spacing w:after="0"/>
            </w:pPr>
            <w:r>
              <w:rPr>
                <w:color w:val="1F2937"/>
                <w:sz w:val="20"/>
                <w:szCs w:val="20"/>
              </w:rPr>
              <w:t xml:space="preserve">2–3% at 6 months</w:t>
            </w:r>
          </w:p>
        </w:tc>
      </w:tr>
      <w:tr>
        <w:tc>
          <w:tcPr>
            <w:tcW w:type="dxa" w:w="4620"/>
            <w:tcMar>
              <w:top w:type="dxa" w:w="100"/>
              <w:left w:type="dxa" w:w="160"/>
              <w:bottom w:type="dxa" w:w="100"/>
              <w:right w:type="dxa" w:w="160"/>
            </w:tcMar>
          </w:tcPr>
          <w:p>
            <w:pPr>
              <w:spacing w:after="0"/>
            </w:pPr>
            <w:r>
              <w:rPr>
                <w:color w:val="1F2937"/>
                <w:sz w:val="20"/>
                <w:szCs w:val="20"/>
              </w:rPr>
              <w:t xml:space="preserve">Avg reading quality rating</w:t>
            </w:r>
          </w:p>
        </w:tc>
        <w:tc>
          <w:tcPr>
            <w:tcW w:type="dxa" w:w="4620"/>
            <w:tcMar>
              <w:top w:type="dxa" w:w="100"/>
              <w:left w:type="dxa" w:w="160"/>
              <w:bottom w:type="dxa" w:w="100"/>
              <w:right w:type="dxa" w:w="160"/>
            </w:tcMar>
          </w:tcPr>
          <w:p>
            <w:pPr>
              <w:spacing w:after="0"/>
            </w:pPr>
            <w:r>
              <w:rPr>
                <w:color w:val="1F2937"/>
                <w:sz w:val="20"/>
                <w:szCs w:val="20"/>
              </w:rPr>
              <w:t xml:space="preserve">&gt; 4.1 / 5</w:t>
            </w:r>
          </w:p>
        </w:tc>
      </w:tr>
      <w:tr>
        <w:tc>
          <w:tcPr>
            <w:tcW w:type="dxa" w:w="4620"/>
            <w:tcMar>
              <w:top w:type="dxa" w:w="100"/>
              <w:left w:type="dxa" w:w="160"/>
              <w:bottom w:type="dxa" w:w="100"/>
              <w:right w:type="dxa" w:w="160"/>
            </w:tcMar>
          </w:tcPr>
          <w:p>
            <w:pPr>
              <w:spacing w:after="0"/>
            </w:pPr>
            <w:r>
              <w:rPr>
                <w:color w:val="1F2937"/>
                <w:sz w:val="20"/>
                <w:szCs w:val="20"/>
              </w:rPr>
              <w:t xml:space="preserve">Chart calculation error rate</w:t>
            </w:r>
          </w:p>
        </w:tc>
        <w:tc>
          <w:tcPr>
            <w:tcW w:type="dxa" w:w="4620"/>
            <w:tcMar>
              <w:top w:type="dxa" w:w="100"/>
              <w:left w:type="dxa" w:w="160"/>
              <w:bottom w:type="dxa" w:w="100"/>
              <w:right w:type="dxa" w:w="160"/>
            </w:tcMar>
          </w:tcPr>
          <w:p>
            <w:pPr>
              <w:spacing w:after="0"/>
            </w:pPr>
            <w:r>
              <w:rPr>
                <w:color w:val="1F2937"/>
                <w:sz w:val="20"/>
                <w:szCs w:val="20"/>
              </w:rPr>
              <w:t xml:space="preserve">&lt; 0.01%</w:t>
            </w:r>
          </w:p>
        </w:tc>
      </w:tr>
      <w:tr>
        <w:tc>
          <w:tcPr>
            <w:tcW w:type="dxa" w:w="4620"/>
            <w:tcMar>
              <w:top w:type="dxa" w:w="100"/>
              <w:left w:type="dxa" w:w="160"/>
              <w:bottom w:type="dxa" w:w="100"/>
              <w:right w:type="dxa" w:w="160"/>
            </w:tcMar>
          </w:tcPr>
          <w:p>
            <w:pPr>
              <w:spacing w:after="0"/>
            </w:pPr>
            <w:r>
              <w:rPr>
                <w:color w:val="1F2937"/>
                <w:sz w:val="20"/>
                <w:szCs w:val="20"/>
              </w:rPr>
              <w:t xml:space="preserve">AI reading generation p95 latency</w:t>
            </w:r>
          </w:p>
        </w:tc>
        <w:tc>
          <w:tcPr>
            <w:tcW w:type="dxa" w:w="4620"/>
            <w:tcMar>
              <w:top w:type="dxa" w:w="100"/>
              <w:left w:type="dxa" w:w="160"/>
              <w:bottom w:type="dxa" w:w="100"/>
              <w:right w:type="dxa" w:w="160"/>
            </w:tcMar>
          </w:tcPr>
          <w:p>
            <w:pPr>
              <w:spacing w:after="0"/>
            </w:pPr>
            <w:r>
              <w:rPr>
                <w:color w:val="1F2937"/>
                <w:sz w:val="20"/>
                <w:szCs w:val="20"/>
              </w:rPr>
              <w:t xml:space="preserve">&lt; 4 seconds</w:t>
            </w:r>
          </w:p>
        </w:tc>
      </w:tr>
    </w:tbl>
    <w:p>
      <w:pPr>
        <w:spacing w:after="240"/>
      </w:pPr>
      <w:r>
        <w:t xml:space="preserve"/>
      </w:r>
    </w:p>
    <w:p>
      <w:pPr>
        <w:pBdr>
          <w:bottom w:val="single" w:color="E5E7EB" w:sz="4"/>
        </w:pBdr>
        <w:spacing w:after="200" w:before="100"/>
      </w:pPr>
      <w:r>
        <w:t xml:space="preserve"/>
      </w:r>
    </w:p>
    <w:p>
      <w:pPr>
        <w:pStyle w:val="Heading1"/>
        <w:spacing w:after="120" w:before="400"/>
      </w:pPr>
      <w:r>
        <w:t xml:space="preserve">Build sequence for AI builder</w:t>
      </w:r>
    </w:p>
    <w:p>
      <w:pPr>
        <w:spacing w:after="80"/>
      </w:pPr>
      <w:r>
        <w:t xml:space="preserve"/>
      </w:r>
    </w:p>
    <w:p>
      <w:pPr>
        <w:spacing w:after="140"/>
      </w:pPr>
      <w:r>
        <w:rPr>
          <w:color w:val="1F2937"/>
          <w:sz w:val="22"/>
          <w:szCs w:val="22"/>
        </w:rPr>
        <w:t xml:space="preserve">Build in this order. Do not proceed to the next phase until the current one has a working demo.</w:t>
      </w:r>
    </w:p>
    <w:p>
      <w:pPr>
        <w:spacing w:after="100"/>
      </w:pPr>
      <w:r>
        <w:t xml:space="preserve"/>
      </w:r>
    </w:p>
    <w:p>
      <w:pPr>
        <w:pStyle w:val="Heading2"/>
        <w:spacing w:after="120" w:before="280"/>
      </w:pPr>
      <w:r>
        <w:t xml:space="preserve">Phase A — Calculation foundation (Week 1–2)</w:t>
      </w:r>
    </w:p>
    <w:p>
      <w:pPr>
        <w:pStyle w:val="ListParagraph"/>
        <w:numPr>
          <w:ilvl w:val="0"/>
          <w:numId w:val="1"/>
        </w:numPr>
        <w:spacing w:after="80"/>
      </w:pPr>
      <w:r>
        <w:rPr>
          <w:color w:val="1F2937"/>
          <w:sz w:val="21"/>
          <w:szCs w:val="21"/>
        </w:rPr>
        <w:t xml:space="preserve">Set up Swiss Ephemeris microservice</w:t>
      </w:r>
    </w:p>
    <w:p>
      <w:pPr>
        <w:pStyle w:val="ListParagraph"/>
        <w:numPr>
          <w:ilvl w:val="0"/>
          <w:numId w:val="1"/>
        </w:numPr>
        <w:spacing w:after="80"/>
      </w:pPr>
      <w:r>
        <w:rPr>
          <w:color w:val="1F2937"/>
          <w:sz w:val="21"/>
          <w:szCs w:val="21"/>
        </w:rPr>
        <w:t xml:space="preserve">Build chart generation endpoint — output full JSON</w:t>
      </w:r>
    </w:p>
    <w:p>
      <w:pPr>
        <w:pStyle w:val="ListParagraph"/>
        <w:numPr>
          <w:ilvl w:val="0"/>
          <w:numId w:val="1"/>
        </w:numPr>
        <w:spacing w:after="80"/>
      </w:pPr>
      <w:r>
        <w:rPr>
          <w:color w:val="1F2937"/>
          <w:sz w:val="21"/>
          <w:szCs w:val="21"/>
        </w:rPr>
        <w:t xml:space="preserve">Write 20 test cases against known charts</w:t>
      </w:r>
    </w:p>
    <w:p>
      <w:pPr>
        <w:pStyle w:val="ListParagraph"/>
        <w:numPr>
          <w:ilvl w:val="0"/>
          <w:numId w:val="1"/>
        </w:numPr>
        <w:spacing w:after="80"/>
      </w:pPr>
      <w:r>
        <w:rPr>
          <w:color w:val="1F2937"/>
          <w:sz w:val="21"/>
          <w:szCs w:val="21"/>
        </w:rPr>
        <w:t xml:space="preserve">Build North Indian chart SVG renderer</w:t>
      </w:r>
    </w:p>
    <w:p>
      <w:pPr>
        <w:pStyle w:val="ListParagraph"/>
        <w:numPr>
          <w:ilvl w:val="0"/>
          <w:numId w:val="1"/>
        </w:numPr>
        <w:spacing w:after="80"/>
      </w:pPr>
      <w:r>
        <w:rPr>
          <w:color w:val="1F2937"/>
          <w:sz w:val="21"/>
          <w:szCs w:val="21"/>
        </w:rPr>
        <w:t xml:space="preserve">No AI yet — this phase is pure calculation</w:t>
      </w:r>
    </w:p>
    <w:p>
      <w:pPr>
        <w:spacing w:after="120"/>
      </w:pPr>
      <w:r>
        <w:t xml:space="preserve"/>
      </w:r>
    </w:p>
    <w:p>
      <w:pPr>
        <w:pStyle w:val="Heading2"/>
        <w:spacing w:after="120" w:before="280"/>
      </w:pPr>
      <w:r>
        <w:t xml:space="preserve">Phase B — RAG knowledge base (Week 2–3)</w:t>
      </w:r>
    </w:p>
    <w:p>
      <w:pPr>
        <w:pStyle w:val="ListParagraph"/>
        <w:numPr>
          <w:ilvl w:val="0"/>
          <w:numId w:val="1"/>
        </w:numPr>
        <w:spacing w:after="80"/>
      </w:pPr>
      <w:r>
        <w:rPr>
          <w:color w:val="1F2937"/>
          <w:sz w:val="21"/>
          <w:szCs w:val="21"/>
        </w:rPr>
        <w:t xml:space="preserve">Set up pgvector on Supabase</w:t>
      </w:r>
    </w:p>
    <w:p>
      <w:pPr>
        <w:pStyle w:val="ListParagraph"/>
        <w:numPr>
          <w:ilvl w:val="0"/>
          <w:numId w:val="1"/>
        </w:numPr>
        <w:spacing w:after="80"/>
      </w:pPr>
      <w:r>
        <w:rPr>
          <w:color w:val="1F2937"/>
          <w:sz w:val="21"/>
          <w:szCs w:val="21"/>
        </w:rPr>
        <w:t xml:space="preserve">Ingest initial 5,000 Vedic rule chunks (provided separately as structured CSV)</w:t>
      </w:r>
    </w:p>
    <w:p>
      <w:pPr>
        <w:pStyle w:val="ListParagraph"/>
        <w:numPr>
          <w:ilvl w:val="0"/>
          <w:numId w:val="1"/>
        </w:numPr>
        <w:spacing w:after="80"/>
      </w:pPr>
      <w:r>
        <w:rPr>
          <w:color w:val="1F2937"/>
          <w:sz w:val="21"/>
          <w:szCs w:val="21"/>
        </w:rPr>
        <w:t xml:space="preserve">Build retrieval endpoint: chart positions → top-8 relevant rules</w:t>
      </w:r>
    </w:p>
    <w:p>
      <w:pPr>
        <w:pStyle w:val="ListParagraph"/>
        <w:numPr>
          <w:ilvl w:val="0"/>
          <w:numId w:val="1"/>
        </w:numPr>
        <w:spacing w:after="80"/>
      </w:pPr>
      <w:r>
        <w:rPr>
          <w:color w:val="1F2937"/>
          <w:sz w:val="21"/>
          <w:szCs w:val="21"/>
        </w:rPr>
        <w:t xml:space="preserve">Test retrieval quality manually — 20 sample queries</w:t>
      </w:r>
    </w:p>
    <w:p>
      <w:pPr>
        <w:spacing w:after="120"/>
      </w:pPr>
      <w:r>
        <w:t xml:space="preserve"/>
      </w:r>
    </w:p>
    <w:p>
      <w:pPr>
        <w:pStyle w:val="Heading2"/>
        <w:spacing w:after="120" w:before="280"/>
      </w:pPr>
      <w:r>
        <w:t xml:space="preserve">Phase C — AI interpretation layer (Week 3–5)</w:t>
      </w:r>
    </w:p>
    <w:p>
      <w:pPr>
        <w:pStyle w:val="ListParagraph"/>
        <w:numPr>
          <w:ilvl w:val="0"/>
          <w:numId w:val="1"/>
        </w:numPr>
        <w:spacing w:after="80"/>
      </w:pPr>
      <w:r>
        <w:rPr>
          <w:color w:val="1F2937"/>
          <w:sz w:val="21"/>
          <w:szCs w:val="21"/>
        </w:rPr>
        <w:t xml:space="preserve">Wire calculation output + RAG retrieval into LLM prompt</w:t>
      </w:r>
    </w:p>
    <w:p>
      <w:pPr>
        <w:pStyle w:val="ListParagraph"/>
        <w:numPr>
          <w:ilvl w:val="0"/>
          <w:numId w:val="1"/>
        </w:numPr>
        <w:spacing w:after="80"/>
      </w:pPr>
      <w:r>
        <w:rPr>
          <w:color w:val="1F2937"/>
          <w:sz w:val="21"/>
          <w:szCs w:val="21"/>
        </w:rPr>
        <w:t xml:space="preserve">Build /reading/generate endpoint with streaming</w:t>
      </w:r>
    </w:p>
    <w:p>
      <w:pPr>
        <w:pStyle w:val="ListParagraph"/>
        <w:numPr>
          <w:ilvl w:val="0"/>
          <w:numId w:val="1"/>
        </w:numPr>
        <w:spacing w:after="80"/>
      </w:pPr>
      <w:r>
        <w:rPr>
          <w:color w:val="1F2937"/>
          <w:sz w:val="21"/>
          <w:szCs w:val="21"/>
        </w:rPr>
        <w:t xml:space="preserve">Implement system prompt with tone guardrails</w:t>
      </w:r>
    </w:p>
    <w:p>
      <w:pPr>
        <w:pStyle w:val="ListParagraph"/>
        <w:numPr>
          <w:ilvl w:val="0"/>
          <w:numId w:val="1"/>
        </w:numPr>
        <w:spacing w:after="80"/>
      </w:pPr>
      <w:r>
        <w:rPr>
          <w:color w:val="1F2937"/>
          <w:sz w:val="21"/>
          <w:szCs w:val="21"/>
        </w:rPr>
        <w:t xml:space="preserve">Test output quality across 10 diverse charts</w:t>
      </w:r>
    </w:p>
    <w:p>
      <w:pPr>
        <w:pStyle w:val="ListParagraph"/>
        <w:numPr>
          <w:ilvl w:val="0"/>
          <w:numId w:val="1"/>
        </w:numPr>
        <w:spacing w:after="80"/>
      </w:pPr>
      <w:r>
        <w:rPr>
          <w:color w:val="1F2937"/>
          <w:sz w:val="21"/>
          <w:szCs w:val="21"/>
        </w:rPr>
        <w:t xml:space="preserve">Add output validation (planet position cross-check)</w:t>
      </w:r>
    </w:p>
    <w:p>
      <w:pPr>
        <w:spacing w:after="120"/>
      </w:pPr>
      <w:r>
        <w:t xml:space="preserve"/>
      </w:r>
    </w:p>
    <w:p>
      <w:pPr>
        <w:pStyle w:val="Heading2"/>
        <w:spacing w:after="120" w:before="280"/>
      </w:pPr>
      <w:r>
        <w:t xml:space="preserve">Phase D — App shell and auth (Week 4–6)</w:t>
      </w:r>
    </w:p>
    <w:p>
      <w:pPr>
        <w:pStyle w:val="ListParagraph"/>
        <w:numPr>
          <w:ilvl w:val="0"/>
          <w:numId w:val="1"/>
        </w:numPr>
        <w:spacing w:after="80"/>
      </w:pPr>
      <w:r>
        <w:rPr>
          <w:color w:val="1F2937"/>
          <w:sz w:val="21"/>
          <w:szCs w:val="21"/>
        </w:rPr>
        <w:t xml:space="preserve">React Native app setup — Expo</w:t>
      </w:r>
    </w:p>
    <w:p>
      <w:pPr>
        <w:pStyle w:val="ListParagraph"/>
        <w:numPr>
          <w:ilvl w:val="0"/>
          <w:numId w:val="1"/>
        </w:numPr>
        <w:spacing w:after="80"/>
      </w:pPr>
      <w:r>
        <w:rPr>
          <w:color w:val="1F2937"/>
          <w:sz w:val="21"/>
          <w:szCs w:val="21"/>
        </w:rPr>
        <w:t xml:space="preserve">Supabase Auth — phone OTP (primary) + Google Sign-in</w:t>
      </w:r>
    </w:p>
    <w:p>
      <w:pPr>
        <w:pStyle w:val="ListParagraph"/>
        <w:numPr>
          <w:ilvl w:val="0"/>
          <w:numId w:val="1"/>
        </w:numPr>
        <w:spacing w:after="80"/>
      </w:pPr>
      <w:r>
        <w:rPr>
          <w:color w:val="1F2937"/>
          <w:sz w:val="21"/>
          <w:szCs w:val="21"/>
        </w:rPr>
        <w:t xml:space="preserve">Onboarding flow — birth details → chart generation</w:t>
      </w:r>
    </w:p>
    <w:p>
      <w:pPr>
        <w:pStyle w:val="ListParagraph"/>
        <w:numPr>
          <w:ilvl w:val="0"/>
          <w:numId w:val="1"/>
        </w:numPr>
        <w:spacing w:after="80"/>
      </w:pPr>
      <w:r>
        <w:rPr>
          <w:color w:val="1F2937"/>
          <w:sz w:val="21"/>
          <w:szCs w:val="21"/>
        </w:rPr>
        <w:t xml:space="preserve">Kundli screen with chart SVG</w:t>
      </w:r>
    </w:p>
    <w:p>
      <w:pPr>
        <w:pStyle w:val="ListParagraph"/>
        <w:numPr>
          <w:ilvl w:val="0"/>
          <w:numId w:val="1"/>
        </w:numPr>
        <w:spacing w:after="80"/>
      </w:pPr>
      <w:r>
        <w:rPr>
          <w:color w:val="1F2937"/>
          <w:sz w:val="21"/>
          <w:szCs w:val="21"/>
        </w:rPr>
        <w:t xml:space="preserve">Home screen with daily reading</w:t>
      </w:r>
    </w:p>
    <w:p>
      <w:pPr>
        <w:spacing w:after="120"/>
      </w:pPr>
      <w:r>
        <w:t xml:space="preserve"/>
      </w:r>
    </w:p>
    <w:p>
      <w:pPr>
        <w:pStyle w:val="Heading2"/>
        <w:spacing w:after="120" w:before="280"/>
      </w:pPr>
      <w:r>
        <w:t xml:space="preserve">Phase E — Paywall and payments (Week 6–8)</w:t>
      </w:r>
    </w:p>
    <w:p>
      <w:pPr>
        <w:pStyle w:val="ListParagraph"/>
        <w:numPr>
          <w:ilvl w:val="0"/>
          <w:numId w:val="1"/>
        </w:numPr>
        <w:spacing w:after="80"/>
      </w:pPr>
      <w:r>
        <w:rPr>
          <w:color w:val="1F2937"/>
          <w:sz w:val="21"/>
          <w:szCs w:val="21"/>
        </w:rPr>
        <w:t xml:space="preserve">Razorpay subscription integration</w:t>
      </w:r>
    </w:p>
    <w:p>
      <w:pPr>
        <w:pStyle w:val="ListParagraph"/>
        <w:numPr>
          <w:ilvl w:val="0"/>
          <w:numId w:val="1"/>
        </w:numPr>
        <w:spacing w:after="80"/>
      </w:pPr>
      <w:r>
        <w:rPr>
          <w:color w:val="1F2937"/>
          <w:sz w:val="21"/>
          <w:szCs w:val="21"/>
        </w:rPr>
        <w:t xml:space="preserve">Paywall gates on AI interpretation sections</w:t>
      </w:r>
    </w:p>
    <w:p>
      <w:pPr>
        <w:pStyle w:val="ListParagraph"/>
        <w:numPr>
          <w:ilvl w:val="0"/>
          <w:numId w:val="1"/>
        </w:numPr>
        <w:spacing w:after="80"/>
      </w:pPr>
      <w:r>
        <w:rPr>
          <w:color w:val="1F2937"/>
          <w:sz w:val="21"/>
          <w:szCs w:val="21"/>
        </w:rPr>
        <w:t xml:space="preserve">Ask screen with 3-question free limit</w:t>
      </w:r>
    </w:p>
    <w:p>
      <w:pPr>
        <w:pStyle w:val="ListParagraph"/>
        <w:numPr>
          <w:ilvl w:val="0"/>
          <w:numId w:val="1"/>
        </w:numPr>
        <w:spacing w:after="80"/>
      </w:pPr>
      <w:r>
        <w:rPr>
          <w:color w:val="1F2937"/>
          <w:sz w:val="21"/>
          <w:szCs w:val="21"/>
        </w:rPr>
        <w:t xml:space="preserve">Push notification: D7 conversion nudge</w:t>
      </w:r>
    </w:p>
    <w:p>
      <w:pPr>
        <w:spacing w:after="120"/>
      </w:pPr>
      <w:r>
        <w:t xml:space="preserve"/>
      </w:r>
    </w:p>
    <w:p>
      <w:pPr>
        <w:pStyle w:val="Heading2"/>
        <w:spacing w:after="120" w:before="280"/>
      </w:pPr>
      <w:r>
        <w:t xml:space="preserve">Phase F — Polish and launch prep (Week 8–12)</w:t>
      </w:r>
    </w:p>
    <w:p>
      <w:pPr>
        <w:pStyle w:val="ListParagraph"/>
        <w:numPr>
          <w:ilvl w:val="0"/>
          <w:numId w:val="1"/>
        </w:numPr>
        <w:spacing w:after="80"/>
      </w:pPr>
      <w:r>
        <w:rPr>
          <w:color w:val="1F2937"/>
          <w:sz w:val="21"/>
          <w:szCs w:val="21"/>
        </w:rPr>
        <w:t xml:space="preserve">Hindi / Hinglish output tuning</w:t>
      </w:r>
    </w:p>
    <w:p>
      <w:pPr>
        <w:pStyle w:val="ListParagraph"/>
        <w:numPr>
          <w:ilvl w:val="0"/>
          <w:numId w:val="1"/>
        </w:numPr>
        <w:spacing w:after="80"/>
      </w:pPr>
      <w:r>
        <w:rPr>
          <w:color w:val="1F2937"/>
          <w:sz w:val="21"/>
          <w:szCs w:val="21"/>
        </w:rPr>
        <w:t xml:space="preserve">Performance: chart generation &lt; 1s, reading &lt; 4s p95</w:t>
      </w:r>
    </w:p>
    <w:p>
      <w:pPr>
        <w:pStyle w:val="ListParagraph"/>
        <w:numPr>
          <w:ilvl w:val="0"/>
          <w:numId w:val="1"/>
        </w:numPr>
        <w:spacing w:after="80"/>
      </w:pPr>
      <w:r>
        <w:rPr>
          <w:color w:val="1F2937"/>
          <w:sz w:val="21"/>
          <w:szCs w:val="21"/>
        </w:rPr>
        <w:t xml:space="preserve">App Store + Play Store submission</w:t>
      </w:r>
    </w:p>
    <w:p>
      <w:pPr>
        <w:pStyle w:val="ListParagraph"/>
        <w:numPr>
          <w:ilvl w:val="0"/>
          <w:numId w:val="1"/>
        </w:numPr>
        <w:spacing w:after="80"/>
      </w:pPr>
      <w:r>
        <w:rPr>
          <w:color w:val="1F2937"/>
          <w:sz w:val="21"/>
          <w:szCs w:val="21"/>
        </w:rPr>
        <w:t xml:space="preserve">Basic analytics: Mixpanel or PostHog</w:t>
      </w:r>
    </w:p>
    <w:p>
      <w:pPr>
        <w:spacing w:after="240"/>
      </w:pPr>
      <w:r>
        <w:t xml:space="preserve"/>
      </w:r>
    </w:p>
    <w:p>
      <w:pPr>
        <w:pBdr>
          <w:bottom w:val="single" w:color="E5E7EB" w:sz="4"/>
        </w:pBdr>
        <w:spacing w:after="200" w:before="100"/>
      </w:pPr>
      <w:r>
        <w:t xml:space="preserve"/>
      </w:r>
    </w:p>
    <w:p>
      <w:pPr>
        <w:pStyle w:val="Heading1"/>
        <w:spacing w:after="120" w:before="400"/>
      </w:pPr>
      <w:r>
        <w:t xml:space="preserve">Open questions (resolve before build starts)</w:t>
      </w:r>
    </w:p>
    <w:p>
      <w:pPr>
        <w:spacing w:after="80"/>
      </w:pPr>
      <w:r>
        <w:t xml:space="preserve"/>
      </w:r>
    </w:p>
    <w:p>
      <w:pPr>
        <w:pStyle w:val="ListParagraph"/>
        <w:numPr>
          <w:ilvl w:val="0"/>
          <w:numId w:val="1"/>
        </w:numPr>
        <w:spacing w:after="80"/>
      </w:pPr>
      <w:r>
        <w:rPr>
          <w:color w:val="1F2937"/>
          <w:sz w:val="21"/>
          <w:szCs w:val="21"/>
        </w:rPr>
        <w:t xml:space="preserve">Vedic rule corpus source — who curates the 15K rule chunks? Founder/domain expert must own this, not the builder.</w:t>
      </w:r>
    </w:p>
    <w:p>
      <w:pPr>
        <w:pStyle w:val="ListParagraph"/>
        <w:numPr>
          <w:ilvl w:val="0"/>
          <w:numId w:val="1"/>
        </w:numPr>
        <w:spacing w:after="80"/>
      </w:pPr>
      <w:r>
        <w:rPr>
          <w:color w:val="1F2937"/>
          <w:sz w:val="21"/>
          <w:szCs w:val="21"/>
        </w:rPr>
        <w:t xml:space="preserve">App name — 'Jyotish AI' is a working title; check trademark availability.</w:t>
      </w:r>
    </w:p>
    <w:p>
      <w:pPr>
        <w:pStyle w:val="ListParagraph"/>
        <w:numPr>
          <w:ilvl w:val="0"/>
          <w:numId w:val="1"/>
        </w:numPr>
        <w:spacing w:after="80"/>
      </w:pPr>
      <w:r>
        <w:rPr>
          <w:color w:val="1F2937"/>
          <w:sz w:val="21"/>
          <w:szCs w:val="21"/>
        </w:rPr>
        <w:t xml:space="preserve">Hindi copy — all in-app strings need native Hindi review before launch; do not rely on LLM translation for UI copy.</w:t>
      </w:r>
    </w:p>
    <w:p>
      <w:pPr>
        <w:pStyle w:val="ListParagraph"/>
        <w:numPr>
          <w:ilvl w:val="0"/>
          <w:numId w:val="1"/>
        </w:numPr>
        <w:spacing w:after="80"/>
      </w:pPr>
      <w:r>
        <w:rPr>
          <w:color w:val="1F2937"/>
          <w:sz w:val="21"/>
          <w:szCs w:val="21"/>
        </w:rPr>
        <w:t xml:space="preserve">Legal — include standard disclaimer: 'For entertainment and self-reflection purposes only. Not a substitute for professional advice.'</w:t>
      </w:r>
    </w:p>
    <w:p>
      <w:pPr>
        <w:pStyle w:val="ListParagraph"/>
        <w:numPr>
          <w:ilvl w:val="0"/>
          <w:numId w:val="1"/>
        </w:numPr>
        <w:spacing w:after="80"/>
      </w:pPr>
      <w:r>
        <w:rPr>
          <w:color w:val="1F2937"/>
          <w:sz w:val="21"/>
          <w:szCs w:val="21"/>
        </w:rPr>
        <w:t xml:space="preserve">First 1,000 users — acquisition plan (ASO, Reddit r/vedicastrology, Instagram Reels) needs to run in parallel with build.</w:t>
      </w:r>
    </w:p>
    <w:p>
      <w:pPr>
        <w:spacing w:after="240"/>
      </w:pPr>
      <w:r>
        <w:t xml:space="preserve"/>
      </w:r>
    </w:p>
    <w:p>
      <w:pPr>
        <w:spacing w:before="200"/>
        <w:jc w:val="center"/>
      </w:pPr>
      <w:r>
        <w:rPr>
          <w:i/>
          <w:iCs/>
          <w:color w:val="6B7280"/>
          <w:sz w:val="20"/>
          <w:szCs w:val="20"/>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2026-07-18T08:20:02.227Z</dcterms:created>
  <dcterms:modified xsi:type="dcterms:W3CDTF">2026-07-18T08:20:02.249Z</dcterms:modified>
</cp:coreProperties>
</file>

<file path=docProps/custom.xml><?xml version="1.0" encoding="utf-8"?>
<Properties xmlns="http://schemas.openxmlformats.org/officeDocument/2006/custom-properties" xmlns:vt="http://schemas.openxmlformats.org/officeDocument/2006/docPropsVTypes"/>
</file>