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pacing w:val="60"/>
          <w:sz w:val="18"/>
          <w:szCs w:val="18"/>
        </w:rPr>
        <w:t xml:space="preserve">POLICY DOCUMENT</w:t>
      </w:r>
    </w:p>
    <w:p>
      <w:pPr>
        <w:spacing w:after="200"/>
      </w:pPr>
      <w:r>
        <w:rPr>
          <w:b/>
          <w:bCs/>
          <w:color w:val="1F3864"/>
          <w:sz w:val="52"/>
          <w:szCs w:val="52"/>
        </w:rPr>
        <w:t xml:space="preserve">Ethics &amp; Privacy Commitments</w:t>
      </w:r>
    </w:p>
    <w:p>
      <w:pPr>
        <w:spacing w:after="100"/>
      </w:pPr>
      <w:r>
        <w:rPr>
          <w:color w:val="595959"/>
          <w:sz w:val="28"/>
          <w:szCs w:val="28"/>
        </w:rPr>
        <w:t xml:space="preserve">Doomscroll Sensing App</w:t>
      </w:r>
    </w:p>
    <w:p>
      <w:pPr>
        <w:pBdr>
          <w:bottom w:val="single" w:color="2E75B6" w:sz="6" w:space="4"/>
        </w:pBdr>
        <w:spacing w:after="120"/>
      </w:pPr>
      <w:r>
        <w:t xml:space="preserve"/>
      </w:r>
    </w:p>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Project</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Doomscroll Sensing App</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Researchers</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Shashank Bajoria — doomscrolling detection;  [Friend's name] — compulsive smartphone usage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Supervisor</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Gwenn Englebienne (g.englebienne@utwente.nl)</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Faculty</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EEMCS, University of Twente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Ethics committee</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EC-CIS — Computer &amp; Information Sciences</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Approval reference</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[CONFIRM: insert when received]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GDPR registration</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[CONFIRM: filled in by supervisor]</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Document version</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0.1 (draft) · [DATE]</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24"/>
              <w:bottom w:val="single" w:color="2E75B6" w:sz="4"/>
              <w:right w:val="single" w:color="2E75B6" w:sz="4"/>
            </w:tcBorders>
            <w:shd w:fill="FFF4E5" w:color="auto" w:val="clear"/>
            <w:tcMar>
              <w:top w:type="dxa" w:w="160"/>
              <w:left w:type="dxa" w:w="220"/>
              <w:bottom w:type="dxa" w:w="160"/>
              <w:right w:type="dxa" w:w="200"/>
            </w:tcMar>
          </w:tcPr>
          <w:p>
            <w:pPr>
              <w:spacing w:after="80"/>
            </w:pPr>
            <w:r>
              <w:rPr>
                <w:b/>
                <w:bCs/>
                <w:color w:val="1F3864"/>
                <w:sz w:val="22"/>
                <w:szCs w:val="22"/>
              </w:rPr>
              <w:t xml:space="preserve">About this document</w:t>
            </w:r>
          </w:p>
          <w:p>
            <w:pPr>
              <w:spacing w:after="60" w:line="300"/>
            </w:pPr>
            <w:r>
              <w:rPr>
                <w:sz w:val="21"/>
                <w:szCs w:val="21"/>
              </w:rPr>
              <w:t xml:space="preserve">This document records the privacy and ethics commitments of the data-collection app. It is the source of truth for what the app is permitted to do. Any deviation from this document requires an ethics amendment before being applied.</w:t>
            </w:r>
          </w:p>
        </w:tc>
      </w:tr>
    </w:tbl>
    <w:p>
      <w:pPr>
        <w:spacing w:after="120"/>
      </w:pPr>
      <w:r>
        <w:t xml:space="preserve"/>
      </w:r>
    </w:p>
    <w:p>
      <w:pPr>
        <w:pStyle w:val="Heading1"/>
        <w:spacing w:after="180" w:before="360"/>
      </w:pPr>
      <w:r>
        <w:t xml:space="preserve">1. Purpose</w:t>
      </w:r>
    </w:p>
    <w:p>
      <w:pPr>
        <w:spacing w:after="120" w:line="300"/>
      </w:pPr>
      <w:r>
        <w:t xml:space="preserve">The app passively logs sensor and usage data on provided Google Pixel 4 smartphones distributed to participants for approximately one week. The data supports two parallel Bachelor's research projects:</w:t>
      </w:r>
    </w:p>
    <w:p>
      <w:pPr>
        <w:spacing w:after="120" w:line="300"/>
      </w:pPr>
      <w:r>
        <w:rPr>
          <w:b/>
          <w:bCs/>
        </w:rPr>
        <w:t xml:space="preserve">Project A (Bajoria): </w:t>
      </w:r>
      <w:r>
        <w:t xml:space="preserve">detection of doomscrolling episodes from passive sensing.</w:t>
      </w:r>
    </w:p>
    <w:p>
      <w:pPr>
        <w:spacing w:after="120" w:line="300"/>
      </w:pPr>
      <w:r>
        <w:rPr>
          <w:b/>
          <w:bCs/>
        </w:rPr>
        <w:t xml:space="preserve">Project B ([Friend]): </w:t>
      </w:r>
      <w:r>
        <w:t xml:space="preserve">detection of compulsive smartphone-checking patterns from passive sensing.</w:t>
      </w:r>
    </w:p>
    <w:p>
      <w:pPr>
        <w:spacing w:after="120" w:line="300"/>
      </w:pPr>
      <w:r>
        <w:t xml:space="preserve">Both projects share data collection, recruitment, and ethics approval, but produce independent papers and analyses.</w:t>
      </w:r>
    </w:p>
    <w:p>
      <w:pPr>
        <w:pStyle w:val="Heading1"/>
        <w:spacing w:after="180" w:before="360"/>
      </w:pPr>
      <w:r>
        <w:t xml:space="preserve">2. What the app collects</w:t>
      </w:r>
    </w:p>
    <w:p>
      <w:pPr>
        <w:spacing w:after="120" w:line="300"/>
      </w:pPr>
      <w:r>
        <w:t xml:space="preserve">Refer to the Data Schema document for the full specification. In summary:</w:t>
      </w:r>
    </w:p>
    <w:p>
      <w:pPr>
        <w:pStyle w:val="ListParagraph"/>
        <w:numPr>
          <w:ilvl w:val="0"/>
          <w:numId w:val="2"/>
        </w:numPr>
        <w:spacing w:after="80" w:line="300"/>
      </w:pPr>
      <w:r>
        <w:t xml:space="preserve">Accelerometer and gyroscope at 50 Hz</w:t>
      </w:r>
    </w:p>
    <w:p>
      <w:pPr>
        <w:pStyle w:val="ListParagraph"/>
        <w:numPr>
          <w:ilvl w:val="0"/>
          <w:numId w:val="2"/>
        </w:numPr>
        <w:spacing w:after="80" w:line="300"/>
      </w:pPr>
      <w:r>
        <w:t xml:space="preserve">Screen on / off / unlock events</w:t>
      </w:r>
    </w:p>
    <w:p>
      <w:pPr>
        <w:pStyle w:val="ListParagraph"/>
        <w:numPr>
          <w:ilvl w:val="0"/>
          <w:numId w:val="2"/>
        </w:numPr>
        <w:spacing w:after="80" w:line="300"/>
      </w:pPr>
      <w:r>
        <w:t xml:space="preserve">Foreground app package names and timestamps</w:t>
      </w:r>
    </w:p>
    <w:p>
      <w:pPr>
        <w:pStyle w:val="ListParagraph"/>
        <w:numPr>
          <w:ilvl w:val="0"/>
          <w:numId w:val="2"/>
        </w:numPr>
        <w:spacing w:after="80" w:line="300"/>
      </w:pPr>
      <w:r>
        <w:t xml:space="preserve">Scroll-gesture events (start / end, direction, foreground app — no coordinates)</w:t>
      </w:r>
    </w:p>
    <w:p>
      <w:pPr>
        <w:pStyle w:val="ListParagraph"/>
        <w:numPr>
          <w:ilvl w:val="0"/>
          <w:numId w:val="2"/>
        </w:numPr>
        <w:spacing w:after="80" w:line="300"/>
      </w:pPr>
      <w:r>
        <w:t xml:space="preserve">Tap and double-tap events in social-media apps (Instagram, TikTok — no coordinates)</w:t>
      </w:r>
    </w:p>
    <w:p>
      <w:pPr>
        <w:spacing w:after="120" w:line="300"/>
      </w:pPr>
      <w:r>
        <w:t xml:space="preserve">Each participant additionally completes a baseline Smartphone Addiction Scale (SAS) questionnaire prior to the data-collection week.</w:t>
      </w:r>
    </w:p>
    <w:p>
      <w:pPr>
        <w:pStyle w:val="Heading1"/>
        <w:spacing w:after="180" w:before="360"/>
      </w:pPr>
      <w:r>
        <w:t xml:space="preserve">3. What the app does NOT collect</w:t>
      </w:r>
    </w:p>
    <w:p>
      <w:pPr>
        <w:spacing w:after="120" w:line="300"/>
      </w:pPr>
      <w:r>
        <w:t xml:space="preserve">The following are explicitly excluded by design and verified in code review. These exclusions are enforced in the app code and reflected in the AndroidManifest by not requesting the corresponding permissions.</w:t>
      </w:r>
    </w:p>
    <w:p>
      <w:pPr>
        <w:pStyle w:val="ListParagraph"/>
        <w:numPr>
          <w:ilvl w:val="0"/>
          <w:numId w:val="2"/>
        </w:numPr>
        <w:spacing w:after="80" w:line="300"/>
      </w:pPr>
      <w:r>
        <w:t xml:space="preserve">Raw touch coordinates (x, y) of any kind</w:t>
      </w:r>
    </w:p>
    <w:p>
      <w:pPr>
        <w:pStyle w:val="ListParagraph"/>
        <w:numPr>
          <w:ilvl w:val="0"/>
          <w:numId w:val="2"/>
        </w:numPr>
        <w:spacing w:after="80" w:line="300"/>
      </w:pPr>
      <w:r>
        <w:t xml:space="preserve">Screen content — no screenshots, no screen recording, no view hierarchies</w:t>
      </w:r>
    </w:p>
    <w:p>
      <w:pPr>
        <w:pStyle w:val="ListParagraph"/>
        <w:numPr>
          <w:ilvl w:val="0"/>
          <w:numId w:val="2"/>
        </w:numPr>
        <w:spacing w:after="80" w:line="300"/>
      </w:pPr>
      <w:r>
        <w:t xml:space="preserve">Keystroke text or key identities</w:t>
      </w:r>
    </w:p>
    <w:p>
      <w:pPr>
        <w:pStyle w:val="ListParagraph"/>
        <w:numPr>
          <w:ilvl w:val="0"/>
          <w:numId w:val="2"/>
        </w:numPr>
        <w:spacing w:after="80" w:line="300"/>
      </w:pPr>
      <w:r>
        <w:t xml:space="preserve">Camera and microphone — never accessed</w:t>
      </w:r>
    </w:p>
    <w:p>
      <w:pPr>
        <w:pStyle w:val="ListParagraph"/>
        <w:numPr>
          <w:ilvl w:val="0"/>
          <w:numId w:val="2"/>
        </w:numPr>
        <w:spacing w:after="80" w:line="300"/>
      </w:pPr>
      <w:r>
        <w:t xml:space="preserve">No GPS, Wi-Fi, Bluetooth, or cellular location data</w:t>
      </w:r>
    </w:p>
    <w:p>
      <w:pPr>
        <w:pStyle w:val="ListParagraph"/>
        <w:numPr>
          <w:ilvl w:val="0"/>
          <w:numId w:val="2"/>
        </w:numPr>
        <w:spacing w:after="80" w:line="300"/>
      </w:pPr>
      <w:r>
        <w:t xml:space="preserve">No notification content</w:t>
      </w:r>
    </w:p>
    <w:p>
      <w:pPr>
        <w:pStyle w:val="ListParagraph"/>
        <w:numPr>
          <w:ilvl w:val="0"/>
          <w:numId w:val="2"/>
        </w:numPr>
        <w:spacing w:after="80" w:line="300"/>
      </w:pPr>
      <w:r>
        <w:t xml:space="preserve">No browser URLs or page content</w:t>
      </w:r>
    </w:p>
    <w:p>
      <w:pPr>
        <w:pStyle w:val="ListParagraph"/>
        <w:numPr>
          <w:ilvl w:val="0"/>
          <w:numId w:val="2"/>
        </w:numPr>
        <w:spacing w:after="80" w:line="300"/>
      </w:pPr>
      <w:r>
        <w:t xml:space="preserve">No contacts, call logs, SMS, or clipboard content</w:t>
      </w:r>
    </w:p>
    <w:p>
      <w:pPr>
        <w:pStyle w:val="ListParagraph"/>
        <w:numPr>
          <w:ilvl w:val="0"/>
          <w:numId w:val="2"/>
        </w:numPr>
        <w:spacing w:after="80" w:line="300"/>
      </w:pPr>
      <w:r>
        <w:t xml:space="preserve">No data while a password field is focused</w:t>
      </w:r>
    </w:p>
    <w:p>
      <w:pPr>
        <w:pStyle w:val="ListParagraph"/>
        <w:numPr>
          <w:ilvl w:val="0"/>
          <w:numId w:val="2"/>
        </w:numPr>
        <w:spacing w:after="80" w:line="300"/>
      </w:pPr>
      <w:r>
        <w:t xml:space="preserve">No data while the lock screen / keyguard is active</w:t>
      </w:r>
    </w:p>
    <w:p>
      <w:pPr>
        <w:pStyle w:val="Heading1"/>
        <w:spacing w:after="180" w:before="360"/>
      </w:pPr>
      <w:r>
        <w:t xml:space="preserve">4. Personal data and GDPR</w:t>
      </w:r>
    </w:p>
    <w:p>
      <w:pPr>
        <w:pStyle w:val="Heading2"/>
        <w:spacing w:after="120" w:before="240"/>
      </w:pPr>
      <w:r>
        <w:t xml:space="preserve">4.1 Lawful basis</w:t>
      </w:r>
    </w:p>
    <w:p>
      <w:pPr>
        <w:spacing w:after="120" w:line="300"/>
      </w:pPr>
      <w:r>
        <w:t xml:space="preserve">Article 6(1)(a) GDPR — explicit informed consent — and Article 6(1)(e) for scientific research in the public interest, as supported by the University of Twente's research-data-management framework.</w:t>
      </w:r>
    </w:p>
    <w:p>
      <w:pPr>
        <w:pStyle w:val="Heading2"/>
        <w:spacing w:after="120" w:before="240"/>
      </w:pPr>
      <w:r>
        <w:t xml:space="preserve">4.2 Data minimisation</w:t>
      </w:r>
    </w:p>
    <w:p>
      <w:pPr>
        <w:spacing w:after="120" w:line="300"/>
      </w:pPr>
      <w:r>
        <w:t xml:space="preserve">Only the data described in the Data Schema is collected. The app requests no permissions beyond those strictly required for that data.</w:t>
      </w:r>
    </w:p>
    <w:p>
      <w:pPr>
        <w:pStyle w:val="Heading2"/>
        <w:spacing w:after="120" w:before="240"/>
      </w:pPr>
      <w:r>
        <w:t xml:space="preserve">4.3 Pseudonymisation</w:t>
      </w:r>
    </w:p>
    <w:p>
      <w:pPr>
        <w:pStyle w:val="ListParagraph"/>
        <w:numPr>
          <w:ilvl w:val="0"/>
          <w:numId w:val="2"/>
        </w:numPr>
        <w:spacing w:after="80" w:line="300"/>
      </w:pPr>
      <w:r>
        <w:t xml:space="preserve">Each participant is assigned a UUID generated on the device.</w:t>
      </w:r>
    </w:p>
    <w:p>
      <w:pPr>
        <w:pStyle w:val="ListParagraph"/>
        <w:numPr>
          <w:ilvl w:val="0"/>
          <w:numId w:val="2"/>
        </w:numPr>
        <w:spacing w:after="80" w:line="300"/>
      </w:pPr>
      <w:r>
        <w:t xml:space="preserve">The mapping between UUID and participant identity is stored separately by the researchers, on an encrypted drive, and is not present on the phone or in any log file.</w:t>
      </w:r>
    </w:p>
    <w:p>
      <w:pPr>
        <w:pStyle w:val="ListParagraph"/>
        <w:numPr>
          <w:ilvl w:val="0"/>
          <w:numId w:val="2"/>
        </w:numPr>
        <w:spacing w:after="80" w:line="300"/>
      </w:pPr>
      <w:r>
        <w:t xml:space="preserve">Logs contain only the UUID.</w:t>
      </w:r>
    </w:p>
    <w:p>
      <w:pPr>
        <w:pStyle w:val="Heading2"/>
        <w:spacing w:after="120" w:before="240"/>
      </w:pPr>
      <w:r>
        <w:t xml:space="preserve">4.4 Storage and transmission</w:t>
      </w:r>
    </w:p>
    <w:p>
      <w:pPr>
        <w:pStyle w:val="ListParagraph"/>
        <w:numPr>
          <w:ilvl w:val="0"/>
          <w:numId w:val="2"/>
        </w:numPr>
        <w:spacing w:after="80" w:line="300"/>
      </w:pPr>
      <w:r>
        <w:t xml:space="preserve">All log files are encrypted at rest on the device using AndroidX Security EncryptedFile (AES-256).</w:t>
      </w:r>
    </w:p>
    <w:p>
      <w:pPr>
        <w:pStyle w:val="ListParagraph"/>
        <w:numPr>
          <w:ilvl w:val="0"/>
          <w:numId w:val="2"/>
        </w:numPr>
        <w:spacing w:after="80" w:line="300"/>
      </w:pPr>
      <w:r>
        <w:t xml:space="preserve">No data leaves the device over a network. Export is exclusively via USB pull at the end of the study period.</w:t>
      </w:r>
    </w:p>
    <w:p>
      <w:pPr>
        <w:pStyle w:val="ListParagraph"/>
        <w:numPr>
          <w:ilvl w:val="0"/>
          <w:numId w:val="2"/>
        </w:numPr>
        <w:spacing w:after="80" w:line="300"/>
      </w:pPr>
      <w:r>
        <w:t xml:space="preserve">Pulled data is stored on an encrypted researcher-controlled drive.</w:t>
      </w:r>
    </w:p>
    <w:p>
      <w:pPr>
        <w:pStyle w:val="Heading2"/>
        <w:spacing w:after="120" w:before="240"/>
      </w:pPr>
      <w:r>
        <w:t xml:space="preserve">4.5 Retention</w:t>
      </w:r>
    </w:p>
    <w:p>
      <w:pPr>
        <w:pStyle w:val="ListParagraph"/>
        <w:numPr>
          <w:ilvl w:val="0"/>
          <w:numId w:val="2"/>
        </w:numPr>
        <w:spacing w:after="80" w:line="300"/>
      </w:pPr>
      <w:r>
        <w:t xml:space="preserve">On-device data is deleted within 24 hours of successful USB export.</w:t>
      </w:r>
    </w:p>
    <w:p>
      <w:pPr>
        <w:pStyle w:val="ListParagraph"/>
        <w:numPr>
          <w:ilvl w:val="0"/>
          <w:numId w:val="2"/>
        </w:numPr>
        <w:spacing w:after="80" w:line="300"/>
      </w:pPr>
      <w:r>
        <w:t xml:space="preserve">Researcher-held data is retained for [CONFIRM: 5 years per UT default], then securely deleted.</w:t>
      </w:r>
    </w:p>
    <w:p>
      <w:pPr>
        <w:pStyle w:val="Heading2"/>
        <w:spacing w:after="120" w:before="240"/>
      </w:pPr>
      <w:r>
        <w:t xml:space="preserve">4.6 Participant rights</w:t>
      </w:r>
    </w:p>
    <w:p>
      <w:pPr>
        <w:spacing w:after="120" w:line="300"/>
      </w:pPr>
      <w:r>
        <w:t xml:space="preserve">Participants are informed in writing and may:</w:t>
      </w:r>
    </w:p>
    <w:p>
      <w:pPr>
        <w:pStyle w:val="ListParagraph"/>
        <w:numPr>
          <w:ilvl w:val="0"/>
          <w:numId w:val="2"/>
        </w:numPr>
        <w:spacing w:after="80" w:line="300"/>
      </w:pPr>
      <w:r>
        <w:t xml:space="preserve">Withdraw at any time without giving a reason.</w:t>
      </w:r>
    </w:p>
    <w:p>
      <w:pPr>
        <w:pStyle w:val="ListParagraph"/>
        <w:numPr>
          <w:ilvl w:val="0"/>
          <w:numId w:val="2"/>
        </w:numPr>
        <w:spacing w:after="80" w:line="300"/>
      </w:pPr>
      <w:r>
        <w:t xml:space="preserve">Request deletion of their data at any point up to publication.</w:t>
      </w:r>
    </w:p>
    <w:p>
      <w:pPr>
        <w:pStyle w:val="ListParagraph"/>
        <w:numPr>
          <w:ilvl w:val="0"/>
          <w:numId w:val="2"/>
        </w:numPr>
        <w:spacing w:after="80" w:line="300"/>
      </w:pPr>
      <w:r>
        <w:t xml:space="preserve">Receive a summary of the study findings on request.</w:t>
      </w:r>
    </w:p>
    <w:p>
      <w:pPr>
        <w:pStyle w:val="Heading1"/>
        <w:spacing w:after="180" w:before="360"/>
      </w:pPr>
      <w:r>
        <w:t xml:space="preserve">5. Mitigation of side-channel risks</w:t>
      </w:r>
    </w:p>
    <w:p>
      <w:pPr>
        <w:spacing w:after="120" w:line="300"/>
      </w:pPr>
      <w:r>
        <w:t xml:space="preserve">The literature on motion-sensor side-channel attacks (Cai &amp; Chen 2011; Owusu et al. 2012; Miluzzo et al. 2012; Mehrnezhad et al. 2016) demonstrates that high-rate accelerometer and gyroscope data, combined with raw touch coordinates, can in principle be used to infer keystrokes including passwords.</w:t>
      </w:r>
    </w:p>
    <w:p>
      <w:pPr>
        <w:spacing w:after="120" w:line="300"/>
      </w:pPr>
      <w:r>
        <w:t xml:space="preserve">The app mitigates this risk through the following measures, all enforced in code:</w:t>
      </w:r>
    </w:p>
    <w:p>
      <w:pPr>
        <w:pStyle w:val="ListParagraph"/>
        <w:numPr>
          <w:ilvl w:val="0"/>
          <w:numId w:val="3"/>
        </w:numPr>
        <w:spacing w:after="80" w:line="300"/>
      </w:pPr>
      <w:r>
        <w:t xml:space="preserve">No raw touch coordinates are logged. Touch events are recorded only as gesture-level abstractions (scroll start / end, single / double tap), without (x, y) values.</w:t>
      </w:r>
    </w:p>
    <w:p>
      <w:pPr>
        <w:pStyle w:val="ListParagraph"/>
        <w:numPr>
          <w:ilvl w:val="0"/>
          <w:numId w:val="3"/>
        </w:numPr>
        <w:spacing w:after="80" w:line="300"/>
      </w:pPr>
      <w:r>
        <w:t xml:space="preserve">All logging is paused when a password field is focused (detected via AccessibilityNodeInfo.isPassword). A logging_pause marker is recorded.</w:t>
      </w:r>
    </w:p>
    <w:p>
      <w:pPr>
        <w:pStyle w:val="ListParagraph"/>
        <w:numPr>
          <w:ilvl w:val="0"/>
          <w:numId w:val="3"/>
        </w:numPr>
        <w:spacing w:after="80" w:line="300"/>
      </w:pPr>
      <w:r>
        <w:t xml:space="preserve">All logging is paused when the keyguard / lock screen is active.</w:t>
      </w:r>
    </w:p>
    <w:p>
      <w:pPr>
        <w:pStyle w:val="ListParagraph"/>
        <w:numPr>
          <w:ilvl w:val="0"/>
          <w:numId w:val="3"/>
        </w:numPr>
        <w:spacing w:after="80" w:line="300"/>
      </w:pPr>
      <w:r>
        <w:t xml:space="preserve">IMU sampling rate is fixed at 50 Hz. This is sufficient for posture and gesture-magnitude features but reduces the resolution available for keystroke inference.</w:t>
      </w:r>
    </w:p>
    <w:p>
      <w:pPr>
        <w:pStyle w:val="ListParagraph"/>
        <w:numPr>
          <w:ilvl w:val="0"/>
          <w:numId w:val="3"/>
        </w:numPr>
        <w:spacing w:after="80" w:line="300"/>
      </w:pPr>
      <w:r>
        <w:t xml:space="preserve">No per-user training data linking taps to coordinates is collected. Without this, the keystroke-inference attacks in the literature do not apply.</w:t>
      </w:r>
    </w:p>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24"/>
              <w:bottom w:val="single" w:color="2E75B6" w:sz="4"/>
              <w:right w:val="single" w:color="2E75B6" w:sz="4"/>
            </w:tcBorders>
            <w:shd w:fill="FFF4E5" w:color="auto" w:val="clear"/>
            <w:tcMar>
              <w:top w:type="dxa" w:w="160"/>
              <w:left w:type="dxa" w:w="220"/>
              <w:bottom w:type="dxa" w:w="160"/>
              <w:right w:type="dxa" w:w="200"/>
            </w:tcMar>
          </w:tcPr>
          <w:p>
            <w:pPr>
              <w:spacing w:after="80"/>
            </w:pPr>
            <w:r>
              <w:rPr>
                <w:b/>
                <w:bCs/>
                <w:color w:val="1F3864"/>
                <w:sz w:val="22"/>
                <w:szCs w:val="22"/>
              </w:rPr>
              <w:t xml:space="preserve">Residual risk assessment</w:t>
            </w:r>
          </w:p>
          <w:p>
            <w:pPr>
              <w:spacing w:after="60" w:line="300"/>
            </w:pPr>
            <w:r>
              <w:rPr>
                <w:sz w:val="21"/>
                <w:szCs w:val="21"/>
              </w:rPr>
              <w:t xml:space="preserve">Given the combined measures above, the residual risk of credential recovery from the data is judged to be near zero.</w:t>
            </w:r>
          </w:p>
        </w:tc>
      </w:tr>
    </w:tbl>
    <w:p>
      <w:pPr>
        <w:pStyle w:val="Heading1"/>
        <w:spacing w:after="180" w:before="360"/>
      </w:pPr>
      <w:r>
        <w:t xml:space="preserve">6. Participant phones and personal accounts</w:t>
      </w:r>
    </w:p>
    <w:p>
      <w:pPr>
        <w:spacing w:after="120" w:line="300"/>
      </w:pPr>
      <w:r>
        <w:t xml:space="preserve">[CONFIRM with supervisor — pick one of the following options before submission.]</w:t>
      </w:r>
    </w:p>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24"/>
              <w:bottom w:val="single" w:color="2E75B6" w:sz="4"/>
              <w:right w:val="single" w:color="2E75B6" w:sz="4"/>
            </w:tcBorders>
            <w:shd w:fill="F2F2F2" w:color="auto" w:val="clear"/>
            <w:tcMar>
              <w:top w:type="dxa" w:w="160"/>
              <w:left w:type="dxa" w:w="220"/>
              <w:bottom w:type="dxa" w:w="160"/>
              <w:right w:type="dxa" w:w="200"/>
            </w:tcMar>
          </w:tcPr>
          <w:p>
            <w:pPr>
              <w:spacing w:after="80"/>
            </w:pPr>
            <w:r>
              <w:rPr>
                <w:b/>
                <w:bCs/>
                <w:color w:val="1F3864"/>
                <w:sz w:val="22"/>
                <w:szCs w:val="22"/>
              </w:rPr>
              <w:t xml:space="preserve">Option A — Current default</w:t>
            </w:r>
          </w:p>
          <w:p>
            <w:pPr>
              <w:spacing w:after="60" w:line="300"/>
            </w:pPr>
            <w:r>
              <w:rPr>
                <w:sz w:val="21"/>
                <w:szCs w:val="21"/>
              </w:rPr>
              <w:t xml:space="preserve">Participants use the provided Pixel 4 with no personal accounts. Limitation: this reduces ecological validity for the doomscrolling research question, as personalised feeds are part of the construct. This limitation is documented in the paper.</w:t>
            </w:r>
          </w:p>
        </w:tc>
      </w:tr>
    </w:tbl>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75B6" w:sz="4"/>
              <w:left w:val="single" w:color="2E75B6" w:sz="24"/>
              <w:bottom w:val="single" w:color="2E75B6" w:sz="4"/>
              <w:right w:val="single" w:color="2E75B6" w:sz="4"/>
            </w:tcBorders>
            <w:shd w:fill="F2F2F2" w:color="auto" w:val="clear"/>
            <w:tcMar>
              <w:top w:type="dxa" w:w="160"/>
              <w:left w:type="dxa" w:w="220"/>
              <w:bottom w:type="dxa" w:w="160"/>
              <w:right w:type="dxa" w:w="200"/>
            </w:tcMar>
          </w:tcPr>
          <w:p>
            <w:pPr>
              <w:spacing w:after="80"/>
            </w:pPr>
            <w:r>
              <w:rPr>
                <w:b/>
                <w:bCs/>
                <w:color w:val="1F3864"/>
                <w:sz w:val="22"/>
                <w:szCs w:val="22"/>
              </w:rPr>
              <w:t xml:space="preserve">Option B — If approved</w:t>
            </w:r>
          </w:p>
          <w:p>
            <w:pPr>
              <w:spacing w:after="60" w:line="300"/>
            </w:pPr>
            <w:r>
              <w:rPr>
                <w:sz w:val="21"/>
                <w:szCs w:val="21"/>
              </w:rPr>
              <w:t xml:space="preserve">Participants log in to their personal social-media accounts on the provided Pixel 4 for the study week. The risk is mitigated by the measures in Section 5. Personal accounts are logged out and the device is factory-reset after the study.</w:t>
            </w:r>
          </w:p>
        </w:tc>
      </w:tr>
    </w:tbl>
    <w:p>
      <w:pPr>
        <w:pStyle w:val="Heading1"/>
        <w:spacing w:after="180" w:before="360"/>
      </w:pPr>
      <w:r>
        <w:t xml:space="preserve">7. Risks and burdens to participants</w:t>
      </w:r>
    </w:p>
    <w:p>
      <w:pPr>
        <w:spacing w:after="120" w:line="300"/>
      </w:pPr>
      <w:r>
        <w:rPr>
          <w:b/>
          <w:bCs/>
        </w:rPr>
        <w:t xml:space="preserve">Time burden: </w:t>
      </w:r>
      <w:r>
        <w:t xml:space="preserve">approximately 30 minutes for onboarding and SAS questionnaire; passive use during the study week, with no required tasks.</w:t>
      </w:r>
    </w:p>
    <w:p>
      <w:pPr>
        <w:spacing w:after="120" w:line="300"/>
      </w:pPr>
      <w:r>
        <w:rPr>
          <w:b/>
          <w:bCs/>
        </w:rPr>
        <w:t xml:space="preserve">Inconvenience: </w:t>
      </w:r>
      <w:r>
        <w:t xml:space="preserve">participants carry a second device for one week. They are informed they can use it as their primary phone or as a secondary phone.</w:t>
      </w:r>
    </w:p>
    <w:p>
      <w:pPr>
        <w:spacing w:after="120" w:line="300"/>
      </w:pPr>
      <w:r>
        <w:rPr>
          <w:b/>
          <w:bCs/>
        </w:rPr>
        <w:t xml:space="preserve">Psychological: </w:t>
      </w:r>
      <w:r>
        <w:t xml:space="preserve">no exposure to distressing stimuli is induced by the study. Doomscrolling, if it occurs, occurs in the participant's normal media-use patterns and is not provoked.</w:t>
      </w:r>
    </w:p>
    <w:p>
      <w:pPr>
        <w:spacing w:after="120" w:line="300"/>
      </w:pPr>
      <w:r>
        <w:rPr>
          <w:b/>
          <w:bCs/>
        </w:rPr>
        <w:t xml:space="preserve">Other: </w:t>
      </w:r>
      <w:r>
        <w:t xml:space="preserve">no physical, financial, legal, or reputational risks are foreseen.</w:t>
      </w:r>
    </w:p>
    <w:p>
      <w:pPr>
        <w:pStyle w:val="Heading1"/>
        <w:spacing w:after="180" w:before="360"/>
      </w:pPr>
      <w:r>
        <w:t xml:space="preserve">8. Researcher conduct</w:t>
      </w:r>
    </w:p>
    <w:p>
      <w:pPr>
        <w:pStyle w:val="ListParagraph"/>
        <w:numPr>
          <w:ilvl w:val="0"/>
          <w:numId w:val="2"/>
        </w:numPr>
        <w:spacing w:after="80" w:line="300"/>
      </w:pPr>
      <w:r>
        <w:t xml:space="preserve">Researchers will not access participant data on the phone before the study end.</w:t>
      </w:r>
    </w:p>
    <w:p>
      <w:pPr>
        <w:pStyle w:val="ListParagraph"/>
        <w:numPr>
          <w:ilvl w:val="0"/>
          <w:numId w:val="2"/>
        </w:numPr>
        <w:spacing w:after="80" w:line="300"/>
      </w:pPr>
      <w:r>
        <w:t xml:space="preserve">Researchers will not attempt to identify participants from the pseudonymised logs.</w:t>
      </w:r>
    </w:p>
    <w:p>
      <w:pPr>
        <w:pStyle w:val="ListParagraph"/>
        <w:numPr>
          <w:ilvl w:val="0"/>
          <w:numId w:val="2"/>
        </w:numPr>
        <w:spacing w:after="80" w:line="300"/>
      </w:pPr>
      <w:r>
        <w:t xml:space="preserve">Any accidental discovery of identifying information triggers immediate deletion of the affected log segment.</w:t>
      </w:r>
    </w:p>
    <w:p>
      <w:pPr>
        <w:pStyle w:val="Heading1"/>
        <w:spacing w:after="180" w:before="360"/>
      </w:pPr>
      <w:r>
        <w:t xml:space="preserve">9. Withdrawal procedure</w:t>
      </w:r>
    </w:p>
    <w:p>
      <w:pPr>
        <w:spacing w:after="120" w:line="300"/>
      </w:pPr>
      <w:r>
        <w:t xml:space="preserve">Participants may withdraw at any time by:</w:t>
      </w:r>
    </w:p>
    <w:p>
      <w:pPr>
        <w:pStyle w:val="ListParagraph"/>
        <w:numPr>
          <w:ilvl w:val="0"/>
          <w:numId w:val="2"/>
        </w:numPr>
        <w:spacing w:after="80" w:line="300"/>
      </w:pPr>
      <w:r>
        <w:t xml:space="preserve">Returning the phone to the researchers, or</w:t>
      </w:r>
    </w:p>
    <w:p>
      <w:pPr>
        <w:pStyle w:val="ListParagraph"/>
        <w:numPr>
          <w:ilvl w:val="0"/>
          <w:numId w:val="2"/>
        </w:numPr>
        <w:spacing w:after="80" w:line="300"/>
      </w:pPr>
      <w:r>
        <w:t xml:space="preserve">Sending an email request to the researchers.</w:t>
      </w:r>
    </w:p>
    <w:p>
      <w:pPr>
        <w:spacing w:after="120" w:line="300"/>
      </w:pPr>
      <w:r>
        <w:t xml:space="preserve">In either case, all data associated with their UUID is deleted from both the device and the researcher's storage.</w:t>
      </w:r>
    </w:p>
    <w:p>
      <w:pPr>
        <w:pStyle w:val="Heading1"/>
        <w:spacing w:after="180" w:before="360"/>
      </w:pPr>
      <w:r>
        <w:t xml:space="preserve">10. Open items requiring confirmation</w:t>
      </w:r>
    </w:p>
    <w:p>
      <w:pPr>
        <w:spacing w:after="120" w:line="300"/>
      </w:pPr>
      <w:r>
        <w:t xml:space="preserve">Before data collection begins, the following must be confirmed in writing with the supervisor and reflected in the ethics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line="280"/>
            </w:pPr>
            <w:r>
              <w:rPr>
                <w:b/>
                <w:bCs/>
                <w:sz w:val="20"/>
                <w:szCs w:val="20"/>
              </w:rPr>
              <w:t xml:space="preserve"/>
            </w:r>
          </w:p>
        </w:tc>
        <w:tc>
          <w:tcPr>
            <w:tcW w:type="dxa" w:w="9038"/>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line="280"/>
            </w:pPr>
            <w:r>
              <w:rPr>
                <w:b/>
                <w:bCs/>
                <w:sz w:val="20"/>
                <w:szCs w:val="20"/>
              </w:rPr>
              <w:t xml:space="preserve">Item</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w:t>
            </w:r>
          </w:p>
        </w:tc>
        <w:tc>
          <w:tcPr>
            <w:tcW w:type="dxa" w:w="90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Personal accounts: Option A or Option B (Section 6)</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w:t>
            </w:r>
          </w:p>
        </w:tc>
        <w:tc>
          <w:tcPr>
            <w:tcW w:type="dxa" w:w="9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Retention period (Section 4.5)</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w:t>
            </w:r>
          </w:p>
        </w:tc>
        <w:tc>
          <w:tcPr>
            <w:tcW w:type="dxa" w:w="90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Demographic fields collected at onboarding (Schema, Section 6)</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w:t>
            </w:r>
          </w:p>
        </w:tc>
        <w:tc>
          <w:tcPr>
            <w:tcW w:type="dxa" w:w="9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Final list of categorised apps (Schema, Section 4) — confirm Dutch news apps with supervisor</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w:t>
            </w:r>
          </w:p>
        </w:tc>
        <w:tc>
          <w:tcPr>
            <w:tcW w:type="dxa" w:w="90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Combined ethics submission with [Friend's name] confirmed by both supervisors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w:t>
            </w:r>
          </w:p>
        </w:tc>
        <w:tc>
          <w:tcPr>
            <w:tcW w:type="dxa" w:w="903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sz w:val="20"/>
                <w:szCs w:val="20"/>
              </w:rPr>
              <w:t xml:space="preserve">GDPR register entry filed by supervisor</w:t>
            </w:r>
          </w:p>
        </w:tc>
      </w:tr>
    </w:tbl>
    <w:p>
      <w:pPr>
        <w:pStyle w:val="Heading1"/>
        <w:spacing w:after="180" w:before="360"/>
      </w:pPr>
      <w:r>
        <w:t xml:space="preserve">11. Document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438"/>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line="280"/>
            </w:pPr>
            <w:r>
              <w:rPr>
                <w:b/>
                <w:bCs/>
                <w:sz w:val="20"/>
                <w:szCs w:val="20"/>
              </w:rPr>
              <w:t xml:space="preserve">Version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line="280"/>
            </w:pPr>
            <w:r>
              <w:rPr>
                <w:b/>
                <w:bCs/>
                <w:sz w:val="20"/>
                <w:szCs w:val="20"/>
              </w:rPr>
              <w:t xml:space="preserve">Date</w:t>
            </w:r>
          </w:p>
        </w:tc>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line="280"/>
            </w:pPr>
            <w:r>
              <w:rPr>
                <w:b/>
                <w:bCs/>
                <w:sz w:val="20"/>
                <w:szCs w:val="20"/>
              </w:rPr>
              <w:t xml:space="preserve">Author</w:t>
            </w:r>
          </w:p>
        </w:tc>
        <w:tc>
          <w:tcPr>
            <w:tcW w:type="dxa" w:w="4438"/>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line="280"/>
            </w:pPr>
            <w:r>
              <w:rPr>
                <w:b/>
                <w:bCs/>
                <w:sz w:val="20"/>
                <w:szCs w:val="20"/>
              </w:rPr>
              <w:t xml:space="preserve">Change</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0.1</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[DATE]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Bajoria</w:t>
            </w:r>
          </w:p>
        </w:tc>
        <w:tc>
          <w:tcPr>
            <w:tcW w:type="dxa" w:w="44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line="280"/>
            </w:pPr>
            <w:r>
              <w:rPr>
                <w:sz w:val="20"/>
                <w:szCs w:val="20"/>
              </w:rPr>
              <w:t xml:space="preserve">Initial draft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595959"/>
        <w:sz w:val="18"/>
        <w:szCs w:val="18"/>
      </w:rPr>
      <w:t xml:space="preserve">Ethics &amp; Privacy Commitments · Doomscroll Sensing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&amp; Privacy Commitments — Doomscroll Sensing App</dc:title>
  <dc:creator>Shashank Bajoria</dc:creator>
  <cp:lastModifiedBy>Un-named</cp:lastModifiedBy>
  <cp:revision>1</cp:revision>
  <dcterms:created xsi:type="dcterms:W3CDTF">2026-05-07T12:56:52.826Z</dcterms:created>
  <dcterms:modified xsi:type="dcterms:W3CDTF">2026-05-07T12:56:52.826Z</dcterms:modified>
</cp:coreProperties>
</file>

<file path=docProps/custom.xml><?xml version="1.0" encoding="utf-8"?>
<Properties xmlns="http://schemas.openxmlformats.org/officeDocument/2006/custom-properties" xmlns:vt="http://schemas.openxmlformats.org/officeDocument/2006/docPropsVTypes"/>
</file>