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b/>
          <w:color w:val="0B2545"/>
        </w:rPr>
        <w:t xml:space="preserve">TEACHER TRAINING TRACKER</w:t>
      </w:r>
    </w:p>
    <w:p>
      <w:pPr>
        <w:pStyle w:val="Subtitle"/>
      </w:pPr>
      <w:r>
        <w:rPr>
          <w:b/>
          <w:color w:val="465466"/>
        </w:rPr>
        <w:t xml:space="preserve">Stakeholder Test Case Specification</w:t>
      </w:r>
    </w:p>
    <w:p>
      <w:pPr>
        <w:pStyle w:val="Normal"/>
      </w:pPr>
      <w:r>
        <w:rPr/>
        <w:t xml:space="preserve">Prepared by: Tester Developer agent</w:t>
      </w:r>
    </w:p>
    <w:p>
      <w:pPr>
        <w:pStyle w:val="Normal"/>
      </w:pPr>
      <w:r>
        <w:rPr/>
        <w:t xml:space="preserve">Baseline: Teacher-Training-Tracker-PRD.docx | Draft for stakeholder review</w:t>
      </w:r>
    </w:p>
    <w:p>
      <w:pPr>
        <w:pStyle w:val="Normal"/>
      </w:pPr>
      <w:r>
        <w:rPr/>
        <w:t xml:space="preserve">Version 1.0 | Prepared 15 October 2026</w:t>
      </w:r>
    </w:p>
    <w:p>
      <w:pPr>
        <w:pStyle w:val="Normal"/>
      </w:pPr>
      <w:r>
        <w:rPr/>
        <w:t xml:space="preserve">Audience: Business, project, product, engineering, QA, operations, and Information Security / Compliance stakeholders.</w:t>
      </w:r>
    </w:p>
    <w:p>
      <w:pPr>
        <w:pStyle w:val="Heading1"/>
      </w:pPr>
      <w:r>
        <w:rPr>
          <w:b/>
          <w:color w:val="234A6F"/>
        </w:rPr>
        <w:t xml:space="preserve">Purpose</w:t>
      </w:r>
    </w:p>
    <w:p>
      <w:pPr>
        <w:pStyle w:val="Normal"/>
      </w:pPr>
      <w:r>
        <w:rPr/>
        <w:t xml:space="preserve">This specification expands the PRD acceptance scenarios into executable, traceable tests. It covers every functional requirement FR-01 through FR-30, confirmed business rules BR-01 through BR-12, decision items D-01 through D-20, and the end-to-end training lifecycle.</w:t>
      </w:r>
    </w:p>
    <w:p>
      <w:pPr>
        <w:pStyle w:val="Heading2"/>
      </w:pPr>
      <w:r>
        <w:rPr>
          <w:b/>
          <w:color w:val="9C5700"/>
        </w:rPr>
        <w:t xml:space="preserve">Readiness is explicit</w:t>
      </w:r>
    </w:p>
    <w:p>
      <w:pPr>
        <w:pStyle w:val="Normal"/>
      </w:pPr>
      <w:r>
        <w:rPr/>
        <w:t xml:space="preserve">READY cases have an expected result defined by confirmed PRD rules and can run when environment and data are available. BLOCKED cases depend on one or more unapproved D-IDs. For blocked cases, the expected result identifies the required decision and deliberately avoids inventing a business rule. Approve the oracle and update readiness before execution.</w:t>
      </w:r>
    </w:p>
    <w:p>
      <w:pPr>
        <w:pStyle w:val="Heading1"/>
      </w:pPr>
      <w:r>
        <w:rPr>
          <w:b/>
          <w:color w:val="234A6F"/>
        </w:rPr>
        <w:t xml:space="preserve">Execution guidance</w:t>
      </w:r>
    </w:p>
    <w:p>
      <w:pPr>
        <w:pStyle w:val="Normal"/>
      </w:pPr>
      <w:r>
        <w:rPr/>
        <w:t xml:space="preserve">Every case includes test ID, requirement/rule/decision traceability, priority, readiness, scenario, preconditions/test data, steps, and expected result. P1 indicates core lifecycle, authorization, data integrity, privacy/security, or certification coverage; P2 indicates supporting coverage.</w:t>
      </w:r>
    </w:p>
    <w:p>
      <w:pPr>
        <w:pStyle w:val="Normal"/>
      </w:pPr>
      <w:r>
        <w:rPr/>
        <w:t xml:space="preserve">Use synthetic identities and project data in a controlled non-production environment. Use least-privileged accounts for authorization checks. Do not use real teacher/student personal information or real OTPs. Record build, environment, tester, date, actual result, evidence reference, and defect ID in the team execution tracker.</w:t>
      </w:r>
    </w:p>
    <w:p>
      <w:pPr>
        <w:pStyle w:val="Heading2"/>
      </w:pPr>
      <w:r>
        <w:rPr>
          <w:b/>
          <w:color w:val="234A6F"/>
        </w:rPr>
        <w:t xml:space="preserve">Decision handling</w:t>
      </w:r>
    </w:p>
    <w:p>
      <w:pPr>
        <w:pStyle w:val="Normal"/>
      </w:pPr>
      <w:r>
        <w:rPr/>
        <w:t xml:space="preserve">If stakeholder approval changes behavior, update the case and traceability before execution. Do not guess unresolved thresholds, permissions, upload contracts, retention periods, or override rules. A decision without an approved oracle is neither a pass nor a fail.</w:t>
      </w:r>
    </w:p>
    <w:p>
      <w:pPr>
        <w:pStyle w:val="Normal"/>
      </w:pPr>
      <w:r>
        <w:rPr/>
        <w:t xml:space="preserve">Total detailed cases: 60. Readiness is a planning status; it does not imply implementation or a passing test.</w:t>
      </w:r>
    </w:p>
    <w:p>
      <w:pPr>
        <w:pStyle w:val="Title"/>
      </w:pPr>
      <w:r>
        <w:rPr>
          <w:b/>
          <w:color w:val="0B2545"/>
        </w:rPr>
        <w:t xml:space="preserve">Detailed test cases</w:t>
      </w:r>
    </w:p>
    <w:p>
      <w:pPr>
        <w:pStyle w:val="Heading1"/>
      </w:pPr>
      <w:r>
        <w:rPr>
          <w:b/>
          <w:color w:val="0B2545"/>
        </w:rPr>
        <w:t xml:space="preserve">01 | Project, access, masters and training plans</w:t>
      </w:r>
    </w:p>
    <w:p>
      <w:pPr>
        <w:pStyle w:val="Heading2"/>
      </w:pPr>
      <w:r>
        <w:rPr>
          <w:b/>
          <w:color w:val="234A6F"/>
        </w:rPr>
        <w:t xml:space="preserve">TC-001 | Select and create project from Odoo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008000"/>
        </w:rPr>
        <w:t xml:space="preserve">READY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FR-01, FR-02 | Business rules: BR-01, BR-02 | Decisions: D-02, D-03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Select and create project from Odoo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Odoo test project exists with approved field mapping; Admin user.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Open project selector; choose project; save; reopen record.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Project code, name, dates and optional description persist accurately; project is linked as the ownership scope.</w:t>
      </w:r>
    </w:p>
    <w:p>
      <w:pPr>
        <w:pStyle w:val="Heading2"/>
      </w:pPr>
      <w:r>
        <w:rPr>
          <w:b/>
          <w:color w:val="234A6F"/>
        </w:rPr>
        <w:t xml:space="preserve">TC-002 | Duplicate project and invalid date boundaries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FR-01 | Business rules: BR-01 | Decisions: D-02, D-03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Duplicate project and invalid date boundaries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Odoo source contains duplicate code; separate record has start date equal to or after end date.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Attempt to import/select and save both records.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Expected reject, deduplicate, or allow behavior must be approved in D-02/D-03; no oracle is assumed.</w:t>
      </w:r>
    </w:p>
    <w:p>
      <w:pPr>
        <w:pStyle w:val="Heading2"/>
      </w:pPr>
      <w:r>
        <w:rPr>
          <w:b/>
          <w:color w:val="234A6F"/>
        </w:rPr>
        <w:t xml:space="preserve">TC-003 | Odoo unavailable during project setup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FR-01, FR-19 | Business rules: BR-01 | Decisions: D-02, D-19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Odoo unavailable during project setup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Odoo project service is unavailable; authorized admin opens project setup.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Attempt project selection; observe response; restore service and retry.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Failure and retry behavior must follow approved integration contract; no false success or orphan project may occur.</w:t>
      </w:r>
    </w:p>
    <w:p>
      <w:pPr>
        <w:pStyle w:val="Heading2"/>
      </w:pPr>
      <w:r>
        <w:rPr>
          <w:b/>
          <w:color w:val="234A6F"/>
        </w:rPr>
        <w:t xml:space="preserve">TC-004 | Project scope and single-project landing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FR-02, FR-19, FR-20 | Business rules: BR-01, BR-10 | Decisions: D-01, D-18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Project scope and single-project landing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Schoolnet Admin, single-project admin, and user assigned only to Project A exist.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Open dashboards as each role; attempt Project B by direct URL, API ID, filter and export.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Schoolnet Admin sees authorized cross-project data; Project A user is restricted server-side to A. Auto-selection behavior for multi-role/scope users follows D-18.</w:t>
      </w:r>
    </w:p>
    <w:p>
      <w:pPr>
        <w:pStyle w:val="Heading2"/>
      </w:pPr>
      <w:r>
        <w:rPr>
          <w:b/>
          <w:color w:val="234A6F"/>
        </w:rPr>
        <w:t xml:space="preserve">TC-005 | Trainer pool CRUD and assignment history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P2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FR-03 | Business rules: BR-10 | Decisions: D-01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Trainer pool CRUD and assignment history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Trainer/Admin roles; employee and consultant trainer records.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Create trainer with code; edit permitted attributes; inspect assignment history; attempt delete while assigned.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Role rights and delete/history retention behavior follow D-01; approved actions are audited and history remains consistent.</w:t>
      </w:r>
    </w:p>
    <w:p>
      <w:pPr>
        <w:pStyle w:val="Heading2"/>
      </w:pPr>
      <w:r>
        <w:rPr>
          <w:b/>
          <w:color w:val="234A6F"/>
        </w:rPr>
        <w:t xml:space="preserve">TC-006 | Trainer availability boundary and overlap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FR-04, FR-11 | Business rules: BR-06 | Decisions: D-01, D-04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Trainer availability boundary and overlap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Availability entries include past, current, future and overlapping time ranges.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Create/edit/delete each range; schedule one batch in, partially overlapping and outside availability.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Future-only rule, hour boundaries, overlap and override policy must be approved under D-04; scheduler detects conflicts.</w:t>
      </w:r>
    </w:p>
    <w:p>
      <w:pPr>
        <w:pStyle w:val="Heading2"/>
      </w:pPr>
      <w:r>
        <w:rPr>
          <w:b/>
          <w:color w:val="234A6F"/>
        </w:rPr>
        <w:t xml:space="preserve">TC-007 | National and state holiday scheduling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FR-05, FR-11 | Business rules: BR-06 | Decisions: D-04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National and state holiday scheduling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National holiday and state-specific holiday are configured; batches are in affected and unaffected states.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Upload/edit batches on each date for both states.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Applicable holidays are identified; block/override and calendar ownership behavior follows D-04.</w:t>
      </w:r>
    </w:p>
    <w:p>
      <w:pPr>
        <w:pStyle w:val="Heading2"/>
      </w:pPr>
      <w:r>
        <w:rPr>
          <w:b/>
          <w:color w:val="234A6F"/>
        </w:rPr>
        <w:t xml:space="preserve">TC-008 | Create project-linked plan and generated code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FR-06 | Business rules: BR-02, BR-03 | Decisions: D-01, D-05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Create project-linked plan and generated code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Authorized admin; project and approved plan type available.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Create plan with name, type, description and duration; save; create another plan.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Plan is linked to project and receives a system-generated unique code; types, duration limits and rights follow D-05.</w:t>
      </w:r>
    </w:p>
    <w:p>
      <w:pPr>
        <w:pStyle w:val="Heading2"/>
      </w:pPr>
      <w:r>
        <w:rPr>
          <w:b/>
          <w:color w:val="234A6F"/>
        </w:rPr>
        <w:t xml:space="preserve">TC-009 | Plan code uniqueness and new plan type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P2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FR-06 | Business rules: BR-03 | Decisions: D-05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Plan code uniqueness and new plan type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Existing plan code; user requests Add New type; boundary duration inputs.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Attempt duplicate code if editable; add type; submit zero, negative, fractional and maximum duration.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Code generation/uniqueness scope, Add New authorization and duration range follow D-05; invalid values cannot corrupt data.</w:t>
      </w:r>
    </w:p>
    <w:p>
      <w:pPr>
        <w:pStyle w:val="Heading2"/>
      </w:pPr>
      <w:r>
        <w:rPr>
          <w:b/>
          <w:color w:val="234A6F"/>
        </w:rPr>
        <w:t xml:space="preserve">TC-010 | Assign multiple day resources and forms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008000"/>
        </w:rPr>
        <w:t xml:space="preserve">READY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FR-07 | Business rules: BR-04 | Decisions: D-05, D-06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Assign multiple day resources and forms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Plan duration is approved; pre-assessment, daily content, feedback and post-assessment exist.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Assign one or more items to first, middle and last valid days; save and reopen plan.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Assignments persist to correct days and types; all allowed form roles and resource references resolve.</w:t>
      </w:r>
    </w:p>
    <w:p>
      <w:pPr>
        <w:pStyle w:val="Heading2"/>
      </w:pPr>
      <w:r>
        <w:rPr>
          <w:b/>
          <w:color w:val="234A6F"/>
        </w:rPr>
        <w:t xml:space="preserve">TC-011 | Reject day outside plan duration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008000"/>
        </w:rPr>
        <w:t xml:space="preserve">READY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FR-07 | Business rules: BR-04 | Decisions: D-05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Reject day outside plan duration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Plan duration N; test day 0, N+1 and a valid day N.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Assign resources/forms to each boundary; save.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Day N is accepted; day 0 and N+1 are rejected; existing valid assignments remain unchanged.</w:t>
      </w:r>
    </w:p>
    <w:p>
      <w:pPr>
        <w:pStyle w:val="Heading2"/>
      </w:pPr>
      <w:r>
        <w:rPr>
          <w:b/>
          <w:color w:val="234A6F"/>
        </w:rPr>
        <w:t xml:space="preserve">TC-012 | Common/project repository permissions and file validation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FR-08, FR-25 | Business rules: BR-10 | Decisions: D-01, D-06, D-17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Common/project repository permissions and file validation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Trainer, admin, unauthorized user; allowed and disallowed sample files per approved contract.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Upload to project repository; promote to common repository; attempt prohibited format/content and unauthorized promotion.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Repository scope, approval rights, file types, size and scanning contract follow D-06/D-17; unauthorized actions are denied.</w:t>
      </w:r>
    </w:p>
    <w:p>
      <w:pPr>
        <w:pStyle w:val="Heading2"/>
      </w:pPr>
      <w:r>
        <w:rPr>
          <w:b/>
          <w:color w:val="234A6F"/>
        </w:rPr>
        <w:t xml:space="preserve">TC-013 | Day-based resource availability and expiry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FR-09 | Business rules: BR-04 | Decisions: D-11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Day-based resource availability and expiry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Trainee is in a batch using a plan with day-linked content; access before, on and after assigned day.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Request resource through UI and direct URL at each point.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Eligibility and expiry behavior follow D-11; cross-project and unlinked access remains denied.</w:t>
      </w:r>
    </w:p>
    <w:p>
      <w:pPr>
        <w:pStyle w:val="Heading2"/>
      </w:pPr>
      <w:r>
        <w:rPr>
          <w:b/>
          <w:color w:val="234A6F"/>
        </w:rPr>
        <w:t xml:space="preserve">TC-014 | Resource edit/removal after plan use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FR-09, FR-08 | Business rules: BR-04 | Decisions: D-11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Resource edit/removal after plan use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Resource linked to plan already used by active and completed batches.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Edit metadata/content; remove link; request resource as each batch cohort.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Version propagation and post-project access behavior follow D-11; historical records remain traceable.</w:t>
      </w:r>
    </w:p>
    <w:p>
      <w:pPr>
        <w:pStyle w:val="Heading1"/>
      </w:pPr>
      <w:r>
        <w:rPr>
          <w:b/>
          <w:color w:val="0B2545"/>
        </w:rPr>
        <w:t xml:space="preserve">02 | Batch setup, uploads and registration</w:t>
      </w:r>
    </w:p>
    <w:p>
      <w:pPr>
        <w:pStyle w:val="Heading2"/>
      </w:pPr>
      <w:r>
        <w:rPr>
          <w:b/>
          <w:color w:val="234A6F"/>
        </w:rPr>
        <w:t xml:space="preserve">TC-015 | Valid batch spreadsheet import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FR-10, FR-11, FR-25 | Business rules: BR-02, BR-05 | Decisions: D-03, D-06, D-07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Valid batch spreadsheet import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Approved template and valid project, plan, school/UDISE, state, district, dates, capacity and trainer references.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Upload workbook; inspect created batch, dates, unique ID and list view.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Rows persist accurately and link to correct project/plan; exact columns, formats and batch ID supply rules follow approved contract.</w:t>
      </w:r>
    </w:p>
    <w:p>
      <w:pPr>
        <w:pStyle w:val="Heading2"/>
      </w:pPr>
      <w:r>
        <w:rPr>
          <w:b/>
          <w:color w:val="234A6F"/>
        </w:rPr>
        <w:t xml:space="preserve">TC-016 | Batch file, column, row and reference errors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FR-10, FR-11, FR-25 | Business rules: BR-05, BR-06 | Decisions: D-03, D-04, D-06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Batch file, column, row and reference errors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Test unsupported extension, malformed headers, missing fields, invalid IDs/dates and mixed valid/invalid rows.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Upload each fixture; inspect errors and stored records; retry corrected file.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Server validates file and fields; row-level versus whole-file rejection, partial save and retry contract follows D-06.</w:t>
      </w:r>
    </w:p>
    <w:p>
      <w:pPr>
        <w:pStyle w:val="Heading2"/>
      </w:pPr>
      <w:r>
        <w:rPr>
          <w:b/>
          <w:color w:val="234A6F"/>
        </w:rPr>
        <w:t xml:space="preserve">TC-017 | Batch date and plan duration boundaries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FR-10, FR-11 | Business rules: BR-05 | Decisions: D-03, D-05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Batch date and plan duration boundaries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Project dates and plan duration known; batch starts before/on/after project bounds; end date varies from computed duration.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Upload each date variant including leap day and boundary.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Out-of-project dates are rejected; end-date calculation, inclusive bounds, calendar and timezone follow D-03/D-05.</w:t>
      </w:r>
    </w:p>
    <w:p>
      <w:pPr>
        <w:pStyle w:val="Heading2"/>
      </w:pPr>
      <w:r>
        <w:rPr>
          <w:b/>
          <w:color w:val="234A6F"/>
        </w:rPr>
        <w:t xml:space="preserve">TC-018 | Capacity changes with existing registrations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FR-10, FR-11, FR-14 | Business rules: BR-05, BR-07 | Decisions: D-03, D-07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Capacity changes with existing registrations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Batch has enrolled participants; proposed capacity is above, equal to and below current count.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Edit capacity and save; inspect roster and batch status.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Capacity cannot be violated; whether lowering below enrollment is blocked or grandfathered follows D-07.</w:t>
      </w:r>
    </w:p>
    <w:p>
      <w:pPr>
        <w:pStyle w:val="Heading2"/>
      </w:pPr>
      <w:r>
        <w:rPr>
          <w:b/>
          <w:color w:val="234A6F"/>
        </w:rPr>
        <w:t xml:space="preserve">TC-019 | Batch list edit/delete and lifecycle restrictions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P2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FR-12 | Business rules: BR-10 | Decisions: D-01, D-09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Batch list edit/delete and lifecycle restrictions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Users with different roles; batch in future, in progress, completed and cancelled.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Open list; attempt edit/delete on each state; inspect audit.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Visible actions and lifecycle restrictions follow D-01/D-09; successful changes are audited; unauthorized mutations are denied.</w:t>
      </w:r>
    </w:p>
    <w:p>
      <w:pPr>
        <w:pStyle w:val="Heading2"/>
      </w:pPr>
      <w:r>
        <w:rPr>
          <w:b/>
          <w:color w:val="234A6F"/>
        </w:rPr>
        <w:t xml:space="preserve">TC-020 | Open and closed batch registration toggle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FR-13, FR-14 | Business rules: BR-07 | Decisions: D-01, D-07, D-08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Open and closed batch registration toggle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Batch has open registration off/on; candidate uses correct and stale links.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Attempt registration in each state; close registration as authorized trainer/admin; retry link.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Registration only available when open; close action takes effect; reopen/late request semantics follow D-08.</w:t>
      </w:r>
    </w:p>
    <w:p>
      <w:pPr>
        <w:pStyle w:val="Heading2"/>
      </w:pPr>
      <w:r>
        <w:rPr>
          <w:b/>
          <w:color w:val="234A6F"/>
        </w:rPr>
        <w:t xml:space="preserve">TC-021 | Registration window start, end and timezone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FR-13, FR-14 | Business rules: BR-07 | Decisions: D-07, D-08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Registration window start, end and timezone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Open batch with approved dates; candidate submits at boundaries and after window.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Register before, at opening, at cutoff and after cutoff in relevant timezone.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Window timing, Day 1 rule, cutoff and timezone follow D-08; no boundary assumption is encoded.</w:t>
      </w:r>
    </w:p>
    <w:p>
      <w:pPr>
        <w:pStyle w:val="Heading2"/>
      </w:pPr>
      <w:r>
        <w:rPr>
          <w:b/>
          <w:color w:val="234A6F"/>
        </w:rPr>
        <w:t xml:space="preserve">TC-022 | Capacity under concurrent registration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008000"/>
        </w:rPr>
        <w:t xml:space="preserve">READY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FR-13, FR-14 | Business rules: BR-07 | Decisions: D-07, D-08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Capacity under concurrent registration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Batch has one seat remaining; two valid candidates submit concurrently.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Submit both registrations at the same time; inspect roster and audit.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At most one registration takes final seat; roster count never exceeds capacity; rejected candidate sees safe outcome.</w:t>
      </w:r>
    </w:p>
    <w:p>
      <w:pPr>
        <w:pStyle w:val="Heading2"/>
      </w:pPr>
      <w:r>
        <w:rPr>
          <w:b/>
          <w:color w:val="234A6F"/>
        </w:rPr>
        <w:t xml:space="preserve">TC-023 | Trainee ID lookup and OTP success/failure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FR-13, FR-15 | Business rules: BR-07 | Decisions: D-07, D-16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Trainee ID lookup and OTP success/failure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Candidate identity data; valid, wrong, expired, resent and exhausted OTP scenarios.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Lookup using approved mobile/email; verify valid OTP; repeat for invalid/expired and retry boundaries.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Identity match, channel, expiry, retries, resend and messages follow D-16; no record is enrolled before required verification.</w:t>
      </w:r>
    </w:p>
    <w:p>
      <w:pPr>
        <w:pStyle w:val="Heading2"/>
      </w:pPr>
      <w:r>
        <w:rPr>
          <w:b/>
          <w:color w:val="234A6F"/>
        </w:rPr>
        <w:t xml:space="preserve">TC-024 | Duplicate, cross-batch and re-enrollment attempts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FR-13, FR-14, FR-15 | Business rules: BR-07, BR-08 | Decisions: D-07, D-08, D-09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Duplicate, cross-batch and re-enrollment attempts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Same candidate has existing registration in same and another batch; batch has unrelated registration link.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Submit duplicate registration and cross-batch enrollment; test after closure.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Identity matching, duplicate prevention, re-enrollment and post-closure behavior follow D-07/D-08; records cannot cross-link silently.</w:t>
      </w:r>
    </w:p>
    <w:p>
      <w:pPr>
        <w:pStyle w:val="Heading2"/>
      </w:pPr>
      <w:r>
        <w:rPr>
          <w:b/>
          <w:color w:val="234A6F"/>
        </w:rPr>
        <w:t xml:space="preserve">TC-025 | Trainer/admin roster upload and approval workflow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FR-13, FR-14 | Business rules: BR-07, BR-08 | Decisions: D-01, D-06, D-09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Trainer/admin roster upload and approval workflow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Open registration enabled; authorized upload; roster contains valid, duplicate and invalid rows.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Upload roster; inspect row errors; trainer reviews, approves/rejects; attempt final closure.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Upload remains available with open registration; approval, partial roster decision, correction and closure/reopen rules follow D-06/D-09.</w:t>
      </w:r>
    </w:p>
    <w:p>
      <w:pPr>
        <w:pStyle w:val="Heading1"/>
      </w:pPr>
      <w:r>
        <w:rPr>
          <w:b/>
          <w:color w:val="0B2545"/>
        </w:rPr>
        <w:t xml:space="preserve">03 | Attendance, progress and certification</w:t>
      </w:r>
    </w:p>
    <w:p>
      <w:pPr>
        <w:pStyle w:val="Heading2"/>
      </w:pPr>
      <w:r>
        <w:rPr>
          <w:b/>
          <w:color w:val="234A6F"/>
        </w:rPr>
        <w:t xml:space="preserve">TC-026 | Attendance present/absent for today and past day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008000"/>
        </w:rPr>
        <w:t xml:space="preserve">READY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FR-16 | Business rules: BR-09 | Decisions: D-01, D-10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Attendance present/absent for today and past day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Assigned trainer; batch dates include today and earlier day; enrolled trainee.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Record PRESENT and ABSENT for both dates; reopen attendance and inspect MIS.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Only PRESENT/ABSENT values persist against correct trainee, batch and date; permitted reports reconcile.</w:t>
      </w:r>
    </w:p>
    <w:p>
      <w:pPr>
        <w:pStyle w:val="Heading2"/>
      </w:pPr>
      <w:r>
        <w:rPr>
          <w:b/>
          <w:color w:val="234A6F"/>
        </w:rPr>
        <w:t xml:space="preserve">TC-027 | Block future attendance and unauthorized entry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008000"/>
        </w:rPr>
        <w:t xml:space="preserve">READY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FR-16 | Business rules: BR-09 | Decisions: D-01, D-10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Block future attendance and unauthorized entry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Future batch day; unassigned trainer and trainee accounts.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Attempt future attendance via UI/API and past/today update by unassigned roles.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Future date and unauthorized actions are denied server-side with no mutation.</w:t>
      </w:r>
    </w:p>
    <w:p>
      <w:pPr>
        <w:pStyle w:val="Heading2"/>
      </w:pPr>
      <w:r>
        <w:rPr>
          <w:b/>
          <w:color w:val="234A6F"/>
        </w:rPr>
        <w:t xml:space="preserve">TC-028 | Attendance correction, duplicate save and audit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FR-16, FR-24 | Business rules: BR-09, BR-10 | Decisions: D-10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Attendance correction, duplicate save and audit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Attendance exists for prior day; trainer submits correction twice; admin attempts correction.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Edit value; repeat request; inspect record history and audit old/new safe representation.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Correction authority, cutoff, approval and duplicate-submit behavior follow D-10; every approved change is auditable.</w:t>
      </w:r>
    </w:p>
    <w:p>
      <w:pPr>
        <w:pStyle w:val="Heading2"/>
      </w:pPr>
      <w:r>
        <w:rPr>
          <w:b/>
          <w:color w:val="234A6F"/>
        </w:rPr>
        <w:t xml:space="preserve">TC-029 | Progress status transitions across training journey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FR-17, FR-19 | Business rules: BR-12 | Decisions: D-12, D-14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Progress status transitions across training journey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Trainees at registered, approved, started, assessment and completion states; approved rule set pending.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Advance each through events; inspect trainee and batch status displays.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Allowed transitions and computed/manual status ownership follow D-12/D-14; status does not imply completion prematurely.</w:t>
      </w:r>
    </w:p>
    <w:p>
      <w:pPr>
        <w:pStyle w:val="Heading2"/>
      </w:pPr>
      <w:r>
        <w:rPr>
          <w:b/>
          <w:color w:val="234A6F"/>
        </w:rPr>
        <w:t xml:space="preserve">TC-030 | Completion formula permutations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FR-17, FR-21 | Business rules: BR-12 | Decisions: D-12, D-14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Completion formula permutations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Test missing day, attendance below/at threshold, assessment incomplete/fail/pass, feedback missing, dropped trainee.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Compute completion for every permutation after rules are approved.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Required days, threshold inclusivity, assessment/feedback requirements, exclusions and exceptions follow D-12; no guessed eligibility.</w:t>
      </w:r>
    </w:p>
    <w:p>
      <w:pPr>
        <w:pStyle w:val="Heading2"/>
      </w:pPr>
      <w:r>
        <w:rPr>
          <w:b/>
          <w:color w:val="234A6F"/>
        </w:rPr>
        <w:t xml:space="preserve">TC-031 | Certificate eligibility gate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FR-18 | Business rules: BR-12 | Decisions: D-13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Certificate eligibility gate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Candidate meets all known steps except one unresolved criterion; second candidate is fully eligible under signed rules.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Request generation for both; inspect decision and audit.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Certificate is only issued according to approved eligibility and authority; issuance trigger and missing-rule outcomes follow D-13.</w:t>
      </w:r>
    </w:p>
    <w:p>
      <w:pPr>
        <w:pStyle w:val="Heading2"/>
      </w:pPr>
      <w:r>
        <w:rPr>
          <w:b/>
          <w:color w:val="234A6F"/>
        </w:rPr>
        <w:t xml:space="preserve">TC-032 | Certificate template content and rendering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FR-18 | Business rules: BR-10, BR-12 | Decisions: D-13, D-15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Certificate template content and rendering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Approved template, logo, colors, signatory and eligible trainee record with PI name.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Generate certificate; inspect fields, numbering, page layout, access and download.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Approved name, project/program, training, duration, completion date, number and signatory display accurately; numbering/name handling follow D-13/D-15.</w:t>
      </w:r>
    </w:p>
    <w:p>
      <w:pPr>
        <w:pStyle w:val="Heading2"/>
      </w:pPr>
      <w:r>
        <w:rPr>
          <w:b/>
          <w:color w:val="234A6F"/>
        </w:rPr>
        <w:t xml:space="preserve">TC-033 | Certificate correction, reissue and revocation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P2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FR-18, FR-24 | Business rules: BR-10, BR-12 | Decisions: D-13, D-15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Certificate correction, reissue and revocation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Existing certificate; source trainee name or completion data corrected.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Change approved source data; request reissue/revocation; inspect old/new artifact and audit.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Correction, revocation, numbering and template version behavior follow D-13; sensitive data remains protected.</w:t>
      </w:r>
    </w:p>
    <w:p>
      <w:pPr>
        <w:pStyle w:val="Heading1"/>
      </w:pPr>
      <w:r>
        <w:rPr>
          <w:b/>
          <w:color w:val="0B2545"/>
        </w:rPr>
        <w:t xml:space="preserve">04 | Dashboards, MIS, privacy and audit</w:t>
      </w:r>
    </w:p>
    <w:p>
      <w:pPr>
        <w:pStyle w:val="Heading2"/>
      </w:pPr>
      <w:r>
        <w:rPr>
          <w:b/>
          <w:color w:val="234A6F"/>
        </w:rPr>
        <w:t xml:space="preserve">TC-034 | Role dashboard contents and permitted actions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FR-19 | Business rules: BR-01 | Decisions: D-01, D-14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Role dashboard contents and permitted actions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Accounts for central, ERNET/Sponsor, state, school, trainer and trainee roles with scoped fixtures.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Sign in as each role; compare visible metrics, tasks, links and actions to approved matrix.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Only role-appropriate views/actions appear; role naming and specific KPI definitions follow D-01/D-14.</w:t>
      </w:r>
    </w:p>
    <w:p>
      <w:pPr>
        <w:pStyle w:val="Heading2"/>
      </w:pPr>
      <w:r>
        <w:rPr>
          <w:b/>
          <w:color w:val="234A6F"/>
        </w:rPr>
        <w:t xml:space="preserve">TC-035 | Dashboard scope filters and direct access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FR-19, FR-20 | Business rules: BR-01, BR-10 | Decisions: D-01, D-14, D-18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Dashboard scope filters and direct access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Users assigned to different projects/states/schools/batches; data with distinct identifiers.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Filter dashboard; alter request IDs; compare UI aggregates with authorized records.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Screen and aggregate results are limited to authorized scope; project switching follows approved D-18.</w:t>
      </w:r>
    </w:p>
    <w:p>
      <w:pPr>
        <w:pStyle w:val="Heading2"/>
      </w:pPr>
      <w:r>
        <w:rPr>
          <w:b/>
          <w:color w:val="234A6F"/>
        </w:rPr>
        <w:t xml:space="preserve">TC-036 | Common MIS coverage and exception indicators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FR-20, FR-21, FR-29 | Business rules: BR-10 | Decisions: D-14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Common MIS coverage and exception indicators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Fixture data for low attendance/registration, pending forms, trainer conflicts, capacity and delays.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Run each MIS view and exception filter; inspect count, labels and drill-through.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Required MIS topics appear; metric definitions, thresholds, refresh timing and exception rules follow D-14.</w:t>
      </w:r>
    </w:p>
    <w:p>
      <w:pPr>
        <w:pStyle w:val="Heading2"/>
      </w:pPr>
      <w:r>
        <w:rPr>
          <w:b/>
          <w:color w:val="234A6F"/>
        </w:rPr>
        <w:t xml:space="preserve">TC-037 | MIS filtering, reconciliation and refresh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FR-20, FR-21 | Business rules: BR-10 | Decisions: D-14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MIS filtering, reconciliation and refresh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Known underlying records across projects, status, geography, plans, batches, trainer and date.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Apply each approved filter; reconcile row sets/counts; repeat after source update.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Filters compose correctly; counts and freshness match approved definitions; no scope leakage.</w:t>
      </w:r>
    </w:p>
    <w:p>
      <w:pPr>
        <w:pStyle w:val="Heading2"/>
      </w:pPr>
      <w:r>
        <w:rPr>
          <w:b/>
          <w:color w:val="234A6F"/>
        </w:rPr>
        <w:t xml:space="preserve">TC-038 | MIS exports across formats and roles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FR-20, FR-22 | Business rules: BR-10, BR-11 | Decisions: D-14, D-15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MIS exports across formats and roles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Approved export permissions; records include masked and sensitive values.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Export Excel, CSV and PDF; compare with same screen filters and another role scope.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Supported formats, field set, masking and row scope match approved policy D-14/D-15; file does not leak hidden data.</w:t>
      </w:r>
    </w:p>
    <w:p>
      <w:pPr>
        <w:pStyle w:val="Heading2"/>
      </w:pPr>
      <w:r>
        <w:rPr>
          <w:b/>
          <w:color w:val="234A6F"/>
        </w:rPr>
        <w:t xml:space="preserve">TC-039 | Personal information masking and authorized clear-name contexts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FR-22, FR-26 | Business rules: BR-11 | Decisions: D-15, D-17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Personal information masking and authorized clear-name contexts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PI test values in dashboards, MIS, downloads, audit and certificate; roles with distinct access.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Inspect screen, export, audit and certificate as each role; search files for raw values.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Approved PI fields are consistently masked except explicitly approved contexts such as final certificate name; exact fields and rules follow D-15.</w:t>
      </w:r>
    </w:p>
    <w:p>
      <w:pPr>
        <w:pStyle w:val="Heading2"/>
      </w:pPr>
      <w:r>
        <w:rPr>
          <w:b/>
          <w:color w:val="234A6F"/>
        </w:rPr>
        <w:t xml:space="preserve">TC-040 | Login, resource access and OTP activity reports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P2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FR-21, FR-30 | Business rules: BR-10 | Decisions: D-14, D-15, D-16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Login, resource access and OTP activity reports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User/resource/OTP events generated for scoped accounts.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Generate accesses, logins, failed logins and OTP events; inspect report filters, retention and sensitive fields.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Required activity is recorded only as approved; report scope, retention and masking follow D-14/D-15/D-16.</w:t>
      </w:r>
    </w:p>
    <w:p>
      <w:pPr>
        <w:pStyle w:val="Heading2"/>
      </w:pPr>
      <w:r>
        <w:rPr>
          <w:b/>
          <w:color w:val="234A6F"/>
        </w:rPr>
        <w:t xml:space="preserve">TC-041 | User/role/access admin and effective revocation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FR-23 | Business rules: BR-01, BR-10 | Decisions: D-01, D-18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User/role/access admin and effective revocation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Admin, project admin and user with access to Project A; user also has multi-project assignment.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Grant and revoke role/scope; retry previously permitted action using current session and direct API.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Only authorized admin can change access; revocation effect, multi-project switch and audit follow D-01/D-18.</w:t>
      </w:r>
    </w:p>
    <w:p>
      <w:pPr>
        <w:pStyle w:val="Heading2"/>
      </w:pPr>
      <w:r>
        <w:rPr>
          <w:b/>
          <w:color w:val="234A6F"/>
        </w:rPr>
        <w:t xml:space="preserve">TC-042 | Audit important changes and protect sensitive values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FR-24 | Business rules: BR-10, BR-11 | Decisions: D-01, D-10, D-14, D-15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Audit important changes and protect sensitive values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Change profile, permissions, roster, attendance and batch fields with authorized actors.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Perform changes; review audit UI/export as permitted and unauthorized role.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Actor/time/action and approved safe before/after details are present; restricted data is masked; audit scope/retention follows decisions.</w:t>
      </w:r>
    </w:p>
    <w:p>
      <w:pPr>
        <w:pStyle w:val="Heading1"/>
      </w:pPr>
      <w:r>
        <w:rPr>
          <w:b/>
          <w:color w:val="0B2545"/>
        </w:rPr>
        <w:t xml:space="preserve">05 | Validation, security and dependencies</w:t>
      </w:r>
    </w:p>
    <w:p>
      <w:pPr>
        <w:pStyle w:val="Heading2"/>
      </w:pPr>
      <w:r>
        <w:rPr>
          <w:b/>
          <w:color w:val="234A6F"/>
        </w:rPr>
        <w:t xml:space="preserve">TC-043 | Server-side validation and file extension bypass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008000"/>
        </w:rPr>
        <w:t xml:space="preserve">READY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FR-25 | Business rules: BR-10 | Decisions: D-06, D-17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Server-side validation and file extension bypass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Invalid input payloads and prohibited file types; client validation bypass path available.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Submit directly to server endpoints and upload route; inspect response and stored state.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Server rejects invalid values/files independently of client; no partial corrupt persistence or sensitive stack details.</w:t>
      </w:r>
    </w:p>
    <w:p>
      <w:pPr>
        <w:pStyle w:val="Heading2"/>
      </w:pPr>
      <w:r>
        <w:rPr>
          <w:b/>
          <w:color w:val="234A6F"/>
        </w:rPr>
        <w:t xml:space="preserve">TC-044 | File content, size and malware validation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FR-25 | Business rules: BR-10 | Decisions: D-06, D-17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File content, size and malware validation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Test approved/unsupported extensions, mismatched MIME/content, boundary sizes and malware fixture per approved test protocol.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Upload each case using UI and direct request.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Allowlist, size/content checks, scanning and partial failure behavior follow D-06/D-17.</w:t>
      </w:r>
    </w:p>
    <w:p>
      <w:pPr>
        <w:pStyle w:val="Heading2"/>
      </w:pPr>
      <w:r>
        <w:rPr>
          <w:b/>
          <w:color w:val="234A6F"/>
        </w:rPr>
        <w:t xml:space="preserve">TC-045 | Credential transport, storage encryption and secrets handling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FR-26 | Business rules: BR-11 | Decisions: D-15, D-17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Credential transport, storage encryption and secrets handling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Security test environment, approved architecture and representative credentials/PI.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Inspect transport configuration, database encryption evidence, logs and certificate data path.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Controls match approved security design; no clear credentials or unauthorized PI appear in transit/storage/logs; evidence criteria follow D-17.</w:t>
      </w:r>
    </w:p>
    <w:p>
      <w:pPr>
        <w:pStyle w:val="Heading2"/>
      </w:pPr>
      <w:r>
        <w:rPr>
          <w:b/>
          <w:color w:val="234A6F"/>
        </w:rPr>
        <w:t xml:space="preserve">TC-046 | Repeated login failures and 15-minute cool-off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FR-27 | Business rules: BR-10 | Decisions: D-16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Repeated login failures and 15-minute cool-off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Test accounts with clean state; configured failure threshold not yet approved.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Submit failures around threshold; verify lockout duration, recovery and reset; repeat across session/client.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Cool-off lasts 15 minutes once approved trigger is reached; threshold, scope, reset and recovery follow D-16.</w:t>
      </w:r>
    </w:p>
    <w:p>
      <w:pPr>
        <w:pStyle w:val="Heading2"/>
      </w:pPr>
      <w:r>
        <w:rPr>
          <w:b/>
          <w:color w:val="234A6F"/>
        </w:rPr>
        <w:t xml:space="preserve">TC-047 | OTP expiry, retries, resend and failure recovery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FR-28 | Business rules: BR-10 | Decisions: D-16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OTP expiry, retries, resend and failure recovery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OTP service test endpoint; approved configuration pending.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Issue OTP; verify before/at/after expiry; test retries, resends, delivery delay and provider outage.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Expiry in minutes and all retry/message/recovery behavior follow D-16; expired OTP cannot verify identity.</w:t>
      </w:r>
    </w:p>
    <w:p>
      <w:pPr>
        <w:pStyle w:val="Heading2"/>
      </w:pPr>
      <w:r>
        <w:rPr>
          <w:b/>
          <w:color w:val="234A6F"/>
        </w:rPr>
        <w:t xml:space="preserve">TC-048 | Exception thresholds and false-positive checks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P2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FR-29 | Business rules: BR-10, BR-12 | Decisions: D-12, D-14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Exception thresholds and false-positive checks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Fixtures at below, exactly at and above each approved threshold.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Run dashboard/MIS exception calculations; alter input data and refresh.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Indicators follow signed thresholds/formulas and reconcile to records; thresholds are not assumed before D-14 approval.</w:t>
      </w:r>
    </w:p>
    <w:p>
      <w:pPr>
        <w:pStyle w:val="Heading2"/>
      </w:pPr>
      <w:r>
        <w:rPr>
          <w:b/>
          <w:color w:val="234A6F"/>
        </w:rPr>
        <w:t xml:space="preserve">TC-049 | Activity tracking minimization, access control and retention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FR-30, FR-24 | Business rules: BR-10, BR-11 | Decisions: D-14, D-15, D-16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Activity tracking minimization, access control and retention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Events for login, failed attempt, OTP and resource access; roles with report/no-report rights.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Generate events; inspect audit/report visibility, masking, retention and deletion behavior.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Only approved events are tracked; access, fields and retention satisfy D-14/D-15/D-16 without secrets.</w:t>
      </w:r>
    </w:p>
    <w:p>
      <w:pPr>
        <w:pStyle w:val="Heading2"/>
      </w:pPr>
      <w:r>
        <w:rPr>
          <w:b/>
          <w:color w:val="234A6F"/>
        </w:rPr>
        <w:t xml:space="preserve">TC-050 | Save/upload dependency failure and retry integrity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FR-11, FR-19, FR-20, FR-25 | Business rules: BR-10 | Decisions: D-06, D-19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Save/upload dependency failure and retry integrity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Inject transient storage/persistence failure during batch upload and record save.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Submit operation; simulate failure; restore; retry once; compare records and messages.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No false success or duplicate rows; failure/recovery text, retry/idempotency and partial-save behavior follow D-06/D-19.</w:t>
      </w:r>
    </w:p>
    <w:p>
      <w:pPr>
        <w:pStyle w:val="Heading2"/>
      </w:pPr>
      <w:r>
        <w:rPr>
          <w:b/>
          <w:color w:val="234A6F"/>
        </w:rPr>
        <w:t xml:space="preserve">TC-051 | OTP provider unavailable and safe user recovery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FR-15, FR-28, FR-30 | Business rules: BR-10, BR-11 | Decisions: D-16, D-19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OTP provider unavailable and safe user recovery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OTP dependency returns timeout, delivery failure and recovery.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Request OTP and complete registration attempt during each fault; restore dependency.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No unverified enrollment; messaging/retry behavior follows D-16/D-19; logs protect contact and OTP values.</w:t>
      </w:r>
    </w:p>
    <w:p>
      <w:pPr>
        <w:pStyle w:val="Heading2"/>
      </w:pPr>
      <w:r>
        <w:rPr>
          <w:b/>
          <w:color w:val="234A6F"/>
        </w:rPr>
        <w:t xml:space="preserve">TC-052 | Odoo outage and integration error handling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FR-01, FR-20, FR-25 | Business rules: BR-10 | Decisions: D-02, D-17, D-19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Odoo outage and integration error handling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Odoo returns timeout, malformed record or authorization error.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Load selector and submit operation under each response; retry after recovery.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No invalid project is created; outage, stale data and recovery behavior follow approved D-02/D-19 contract.</w:t>
      </w:r>
    </w:p>
    <w:p>
      <w:pPr>
        <w:pStyle w:val="Heading2"/>
      </w:pPr>
      <w:r>
        <w:rPr>
          <w:b/>
          <w:color w:val="234A6F"/>
        </w:rPr>
        <w:t xml:space="preserve">TC-053 | Trainer conflict and holiday indicators reconcile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FR-04, FR-05, FR-11, FR-29 | Business rules: BR-06 | Decisions: D-04, D-14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Trainer conflict and holiday indicators reconcile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Conflicting trainer schedule and applicable holiday with batches in report range.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Attempt schedule; run exception dashboard and export.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Conflict detection and override follow D-04; report indicator/filter follows D-14 and matches source schedule.</w:t>
      </w:r>
    </w:p>
    <w:p>
      <w:pPr>
        <w:pStyle w:val="Heading2"/>
      </w:pPr>
      <w:r>
        <w:rPr>
          <w:b/>
          <w:color w:val="234A6F"/>
        </w:rPr>
        <w:t xml:space="preserve">TC-054 | Completion, certification and MIS end-to-end reconciliation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FR-17, FR-18, FR-21 | Business rules: BR-12 | Decisions: D-12, D-13, D-14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Completion, certification and MIS end-to-end reconciliation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Approved completion and certificate rules; eligible and ineligible trainees.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Complete training events; calculate statuses; issue eligible certificates; compare dashboards and MIS.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Statuses, eligible certificates and report totals agree with approved rules; no certificate without eligibility.</w:t>
      </w:r>
    </w:p>
    <w:p>
      <w:pPr>
        <w:pStyle w:val="Heading2"/>
      </w:pPr>
      <w:r>
        <w:rPr>
          <w:b/>
          <w:color w:val="234A6F"/>
        </w:rPr>
        <w:t xml:space="preserve">TC-055 | Master-data ownership and CRUD authorization matrix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FR-03, FR-06, FR-08, FR-10, FR-13, FR-23 | Business rules: BR-01, BR-02 | Decisions: D-01, D-05, D-06, D-07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Master-data ownership and CRUD authorization matrix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Role matrix and fixture records for project, trainer, type, school, holiday, resources and forms.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As each role, create/edit/delete each master; repeat without permission and through API.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Allowed actions and ownership follow approved D-01/D-05/D-06/D-07; unauthorized calls are denied and logged.</w:t>
      </w:r>
    </w:p>
    <w:p>
      <w:pPr>
        <w:pStyle w:val="Heading2"/>
      </w:pPr>
      <w:r>
        <w:rPr>
          <w:b/>
          <w:color w:val="234A6F"/>
        </w:rPr>
        <w:t xml:space="preserve">TC-056 | Cross-role and cross-scope authorization matrix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FR-02, FR-19, FR-20, FR-21, FR-23, FR-24 | Business rules: BR-01, BR-10 | Decisions: D-01, D-14, D-18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Cross-role and cross-scope authorization matrix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Seed projects A/B, states, schools, batches, trainers and trainees; role test accounts.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For list, detail, mutation, dashboard, MIS, export and audit endpoints test allowed and denied scope combinations.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Every view/action enforces role and scope consistently server-side; no identifier manipulation yields unauthorized data.</w:t>
      </w:r>
    </w:p>
    <w:p>
      <w:pPr>
        <w:pStyle w:val="Heading2"/>
      </w:pPr>
      <w:r>
        <w:rPr>
          <w:b/>
          <w:color w:val="234A6F"/>
        </w:rPr>
        <w:t xml:space="preserve">TC-057 | Data integrity, duplicate submission and upload retry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FR-10, FR-11, FR-13, FR-25 | Business rules: BR-05, BR-07 | Decisions: D-03, D-06, D-07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Data integrity, duplicate submission and upload retry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Valid workbook submitted twice; network timeout after server commit; referential values changed during upload.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Submit/retry and inspect counts, foreign keys and resulting errors.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No duplicate or orphan records; idempotency and transaction/partial-save semantics follow D-06/D-07.</w:t>
      </w:r>
    </w:p>
    <w:p>
      <w:pPr>
        <w:pStyle w:val="Heading2"/>
      </w:pPr>
      <w:r>
        <w:rPr>
          <w:b/>
          <w:color w:val="234A6F"/>
        </w:rPr>
        <w:t xml:space="preserve">TC-058 | Dashboard and MIS nonfunctional limits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P2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FR-19, FR-20, FR-21, FR-29, FR-30 | Business rules: BR-10 | Decisions: D-14, D-20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Dashboard and MIS nonfunctional limits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Approved browser/device, data volume, concurrency and response targets pending.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Exercise representative dashboard, filters, exports and activity reports at agreed load and accessibility checks.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Performance, browser/device, accessibility, availability and report limits meet targets only after D-20 sign-off.</w:t>
      </w:r>
    </w:p>
    <w:p>
      <w:pPr>
        <w:pStyle w:val="Heading2"/>
      </w:pPr>
      <w:r>
        <w:rPr>
          <w:b/>
          <w:color w:val="234A6F"/>
        </w:rPr>
        <w:t xml:space="preserve">TC-059 | Security and privacy stakeholder acceptance gate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FR-24, FR-26, FR-27, FR-28, FR-30 | Business rules: BR-10, BR-11 | Decisions: D-15, D-16, D-17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Security and privacy stakeholder acceptance gate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Security owner has approved data inventory, threat controls, retention and test evidence.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Review role bypass, masking, encryption, login/OTP controls, audit exposure and retention evidence.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All approved security/privacy controls pass; ambiguous clear URL, secrets/audit handling and architecture must be resolved under D-15/D-16/D-17.</w:t>
      </w:r>
    </w:p>
    <w:p>
      <w:pPr>
        <w:pStyle w:val="Heading2"/>
      </w:pPr>
      <w:r>
        <w:rPr>
          <w:b/>
          <w:color w:val="234A6F"/>
        </w:rPr>
        <w:t xml:space="preserve">TC-060 | Stakeholder decision closure and UAT readiness</w:t>
      </w:r>
    </w:p>
    <w:p>
      <w:pPr>
        <w:pStyle w:val="Normal"/>
      </w:pPr>
      <w:r>
        <w:rPr>
          <w:b/>
        </w:rPr>
        <w:t xml:space="preserve">Priority: </w:t>
      </w:r>
      <w:r>
        <w:rPr/>
        <w:t xml:space="preserve">P1</w:t>
      </w:r>
      <w:r>
        <w:rPr>
          <w:b/>
        </w:rPr>
        <w:t xml:space="preserve">Readiness: </w:t>
      </w:r>
      <w:r>
        <w:rPr>
          <w:b/>
          <w:color w:val="9C5700"/>
        </w:rPr>
        <w:t xml:space="preserve">BLOCKED</w:t>
      </w:r>
    </w:p>
    <w:p>
      <w:pPr>
        <w:pStyle w:val="Normal"/>
      </w:pPr>
      <w:r>
        <w:rPr>
          <w:b/>
          <w:color w:val="234A6F"/>
        </w:rPr>
        <w:t xml:space="preserve">Traceability</w:t>
      </w:r>
      <w:r>
        <w:rPr/>
        <w:t xml:space="preserve">  Requirements: FR-01 through FR-30 | Business rules: BR-01 through BR-12 | Decisions: D-01 through D-20</w:t>
      </w:r>
    </w:p>
    <w:p>
      <w:pPr>
        <w:pStyle w:val="Normal"/>
      </w:pPr>
      <w:r>
        <w:rPr>
          <w:b/>
          <w:color w:val="234A6F"/>
        </w:rPr>
        <w:t xml:space="preserve">Objective / scenario</w:t>
      </w:r>
      <w:r>
        <w:rPr/>
        <w:t xml:space="preserve">  Stakeholder decision closure and UAT readiness</w:t>
      </w:r>
    </w:p>
    <w:p>
      <w:pPr>
        <w:pStyle w:val="Normal"/>
      </w:pPr>
      <w:r>
        <w:rPr>
          <w:b/>
          <w:color w:val="234A6F"/>
        </w:rPr>
        <w:t xml:space="preserve">Preconditions / test data</w:t>
      </w:r>
      <w:r>
        <w:rPr/>
        <w:t xml:space="preserve">  PRD decision register reviewed by business, technical, security and operations owners.</w:t>
      </w:r>
    </w:p>
    <w:p>
      <w:pPr>
        <w:pStyle w:val="Normal"/>
      </w:pPr>
      <w:r>
        <w:rPr>
          <w:b/>
          <w:color w:val="234A6F"/>
        </w:rPr>
        <w:t xml:space="preserve">Steps</w:t>
      </w:r>
      <w:r>
        <w:rPr/>
        <w:t xml:space="preserve">  For each D-ID record approved rule/version/owner; map to expected result; rerun affected cases; obtain sign-offs.</w:t>
      </w:r>
    </w:p>
    <w:p>
      <w:pPr>
        <w:pStyle w:val="Normal"/>
      </w:pPr>
      <w:r>
        <w:rPr>
          <w:b/>
          <w:color w:val="234A6F"/>
        </w:rPr>
        <w:t xml:space="preserve">Expected result</w:t>
      </w:r>
      <w:r>
        <w:rPr/>
        <w:t xml:space="preserve">  No decision-gated test is marked executable until its oracle is approved; all functional requirements have linked passing evidence before UAT exit.</w:t>
      </w:r>
    </w:p>
    <w:p>
      <w:pPr>
        <w:pStyle w:val="Heading1"/>
      </w:pPr>
      <w:r>
        <w:rPr>
          <w:b/>
          <w:color w:val="0B2545"/>
        </w:rPr>
        <w:t xml:space="preserve">Appendix A | Functional requirement coverage</w:t>
      </w:r>
    </w:p>
    <w:p>
      <w:pPr>
        <w:pStyle w:val="Normal"/>
      </w:pPr>
      <w:r>
        <w:rPr>
          <w:b/>
          <w:color w:val="234A6F"/>
        </w:rPr>
        <w:t xml:space="preserve">FR-01</w:t>
      </w:r>
      <w:r>
        <w:rPr/>
        <w:t xml:space="preserve">  TC-001, TC-002, TC-003, TC-052</w:t>
      </w:r>
    </w:p>
    <w:p>
      <w:pPr>
        <w:pStyle w:val="Normal"/>
      </w:pPr>
      <w:r>
        <w:rPr>
          <w:b/>
          <w:color w:val="234A6F"/>
        </w:rPr>
        <w:t xml:space="preserve">FR-02</w:t>
      </w:r>
      <w:r>
        <w:rPr/>
        <w:t xml:space="preserve">  TC-001, TC-004, TC-056</w:t>
      </w:r>
    </w:p>
    <w:p>
      <w:pPr>
        <w:pStyle w:val="Normal"/>
      </w:pPr>
      <w:r>
        <w:rPr>
          <w:b/>
          <w:color w:val="234A6F"/>
        </w:rPr>
        <w:t xml:space="preserve">FR-03</w:t>
      </w:r>
      <w:r>
        <w:rPr/>
        <w:t xml:space="preserve">  TC-005, TC-055</w:t>
      </w:r>
    </w:p>
    <w:p>
      <w:pPr>
        <w:pStyle w:val="Normal"/>
      </w:pPr>
      <w:r>
        <w:rPr>
          <w:b/>
          <w:color w:val="234A6F"/>
        </w:rPr>
        <w:t xml:space="preserve">FR-04</w:t>
      </w:r>
      <w:r>
        <w:rPr/>
        <w:t xml:space="preserve">  TC-006, TC-053</w:t>
      </w:r>
    </w:p>
    <w:p>
      <w:pPr>
        <w:pStyle w:val="Normal"/>
      </w:pPr>
      <w:r>
        <w:rPr>
          <w:b/>
          <w:color w:val="234A6F"/>
        </w:rPr>
        <w:t xml:space="preserve">FR-05</w:t>
      </w:r>
      <w:r>
        <w:rPr/>
        <w:t xml:space="preserve">  TC-007, TC-053</w:t>
      </w:r>
    </w:p>
    <w:p>
      <w:pPr>
        <w:pStyle w:val="Normal"/>
      </w:pPr>
      <w:r>
        <w:rPr>
          <w:b/>
          <w:color w:val="234A6F"/>
        </w:rPr>
        <w:t xml:space="preserve">FR-06</w:t>
      </w:r>
      <w:r>
        <w:rPr/>
        <w:t xml:space="preserve">  TC-008, TC-009, TC-055</w:t>
      </w:r>
    </w:p>
    <w:p>
      <w:pPr>
        <w:pStyle w:val="Normal"/>
      </w:pPr>
      <w:r>
        <w:rPr>
          <w:b/>
          <w:color w:val="234A6F"/>
        </w:rPr>
        <w:t xml:space="preserve">FR-07</w:t>
      </w:r>
      <w:r>
        <w:rPr/>
        <w:t xml:space="preserve">  TC-010, TC-011</w:t>
      </w:r>
    </w:p>
    <w:p>
      <w:pPr>
        <w:pStyle w:val="Normal"/>
      </w:pPr>
      <w:r>
        <w:rPr>
          <w:b/>
          <w:color w:val="234A6F"/>
        </w:rPr>
        <w:t xml:space="preserve">FR-08</w:t>
      </w:r>
      <w:r>
        <w:rPr/>
        <w:t xml:space="preserve">  TC-012, TC-014, TC-055</w:t>
      </w:r>
    </w:p>
    <w:p>
      <w:pPr>
        <w:pStyle w:val="Normal"/>
      </w:pPr>
      <w:r>
        <w:rPr>
          <w:b/>
          <w:color w:val="234A6F"/>
        </w:rPr>
        <w:t xml:space="preserve">FR-09</w:t>
      </w:r>
      <w:r>
        <w:rPr/>
        <w:t xml:space="preserve">  TC-013, TC-014</w:t>
      </w:r>
    </w:p>
    <w:p>
      <w:pPr>
        <w:pStyle w:val="Normal"/>
      </w:pPr>
      <w:r>
        <w:rPr>
          <w:b/>
          <w:color w:val="234A6F"/>
        </w:rPr>
        <w:t xml:space="preserve">FR-10</w:t>
      </w:r>
      <w:r>
        <w:rPr/>
        <w:t xml:space="preserve">  TC-015, TC-016, TC-017, TC-018, TC-055, TC-057</w:t>
      </w:r>
    </w:p>
    <w:p>
      <w:pPr>
        <w:pStyle w:val="Normal"/>
      </w:pPr>
      <w:r>
        <w:rPr>
          <w:b/>
          <w:color w:val="234A6F"/>
        </w:rPr>
        <w:t xml:space="preserve">FR-11</w:t>
      </w:r>
      <w:r>
        <w:rPr/>
        <w:t xml:space="preserve">  TC-006, TC-007, TC-015, TC-016, TC-017, TC-018, TC-050, TC-053, TC-057</w:t>
      </w:r>
    </w:p>
    <w:p>
      <w:pPr>
        <w:pStyle w:val="Normal"/>
      </w:pPr>
      <w:r>
        <w:rPr>
          <w:b/>
          <w:color w:val="234A6F"/>
        </w:rPr>
        <w:t xml:space="preserve">FR-12</w:t>
      </w:r>
      <w:r>
        <w:rPr/>
        <w:t xml:space="preserve">  TC-019</w:t>
      </w:r>
    </w:p>
    <w:p>
      <w:pPr>
        <w:pStyle w:val="Normal"/>
      </w:pPr>
      <w:r>
        <w:rPr>
          <w:b/>
          <w:color w:val="234A6F"/>
        </w:rPr>
        <w:t xml:space="preserve">FR-13</w:t>
      </w:r>
      <w:r>
        <w:rPr/>
        <w:t xml:space="preserve">  TC-020, TC-021, TC-022, TC-023, TC-024, TC-025, TC-055, TC-057</w:t>
      </w:r>
    </w:p>
    <w:p>
      <w:pPr>
        <w:pStyle w:val="Normal"/>
      </w:pPr>
      <w:r>
        <w:rPr>
          <w:b/>
          <w:color w:val="234A6F"/>
        </w:rPr>
        <w:t xml:space="preserve">FR-14</w:t>
      </w:r>
      <w:r>
        <w:rPr/>
        <w:t xml:space="preserve">  TC-018, TC-020, TC-021, TC-022, TC-024, TC-025</w:t>
      </w:r>
    </w:p>
    <w:p>
      <w:pPr>
        <w:pStyle w:val="Normal"/>
      </w:pPr>
      <w:r>
        <w:rPr>
          <w:b/>
          <w:color w:val="234A6F"/>
        </w:rPr>
        <w:t xml:space="preserve">FR-15</w:t>
      </w:r>
      <w:r>
        <w:rPr/>
        <w:t xml:space="preserve">  TC-023, TC-024, TC-051</w:t>
      </w:r>
    </w:p>
    <w:p>
      <w:pPr>
        <w:pStyle w:val="Normal"/>
      </w:pPr>
      <w:r>
        <w:rPr>
          <w:b/>
          <w:color w:val="234A6F"/>
        </w:rPr>
        <w:t xml:space="preserve">FR-16</w:t>
      </w:r>
      <w:r>
        <w:rPr/>
        <w:t xml:space="preserve">  TC-026, TC-027, TC-028</w:t>
      </w:r>
    </w:p>
    <w:p>
      <w:pPr>
        <w:pStyle w:val="Normal"/>
      </w:pPr>
      <w:r>
        <w:rPr>
          <w:b/>
          <w:color w:val="234A6F"/>
        </w:rPr>
        <w:t xml:space="preserve">FR-17</w:t>
      </w:r>
      <w:r>
        <w:rPr/>
        <w:t xml:space="preserve">  TC-029, TC-030, TC-054</w:t>
      </w:r>
    </w:p>
    <w:p>
      <w:pPr>
        <w:pStyle w:val="Normal"/>
      </w:pPr>
      <w:r>
        <w:rPr>
          <w:b/>
          <w:color w:val="234A6F"/>
        </w:rPr>
        <w:t xml:space="preserve">FR-18</w:t>
      </w:r>
      <w:r>
        <w:rPr/>
        <w:t xml:space="preserve">  TC-031, TC-032, TC-033, TC-054</w:t>
      </w:r>
    </w:p>
    <w:p>
      <w:pPr>
        <w:pStyle w:val="Normal"/>
      </w:pPr>
      <w:r>
        <w:rPr>
          <w:b/>
          <w:color w:val="234A6F"/>
        </w:rPr>
        <w:t xml:space="preserve">FR-19</w:t>
      </w:r>
      <w:r>
        <w:rPr/>
        <w:t xml:space="preserve">  TC-003, TC-004, TC-029, TC-034, TC-035, TC-050, TC-056, TC-058</w:t>
      </w:r>
    </w:p>
    <w:p>
      <w:pPr>
        <w:pStyle w:val="Normal"/>
      </w:pPr>
      <w:r>
        <w:rPr>
          <w:b/>
          <w:color w:val="234A6F"/>
        </w:rPr>
        <w:t xml:space="preserve">FR-20</w:t>
      </w:r>
      <w:r>
        <w:rPr/>
        <w:t xml:space="preserve">  TC-004, TC-035, TC-036, TC-037, TC-038, TC-050, TC-052, TC-056, TC-058</w:t>
      </w:r>
    </w:p>
    <w:p>
      <w:pPr>
        <w:pStyle w:val="Normal"/>
      </w:pPr>
      <w:r>
        <w:rPr>
          <w:b/>
          <w:color w:val="234A6F"/>
        </w:rPr>
        <w:t xml:space="preserve">FR-21</w:t>
      </w:r>
      <w:r>
        <w:rPr/>
        <w:t xml:space="preserve">  TC-030, TC-036, TC-037, TC-040, TC-054, TC-056, TC-058</w:t>
      </w:r>
    </w:p>
    <w:p>
      <w:pPr>
        <w:pStyle w:val="Normal"/>
      </w:pPr>
      <w:r>
        <w:rPr>
          <w:b/>
          <w:color w:val="234A6F"/>
        </w:rPr>
        <w:t xml:space="preserve">FR-22</w:t>
      </w:r>
      <w:r>
        <w:rPr/>
        <w:t xml:space="preserve">  TC-038, TC-039</w:t>
      </w:r>
    </w:p>
    <w:p>
      <w:pPr>
        <w:pStyle w:val="Normal"/>
      </w:pPr>
      <w:r>
        <w:rPr>
          <w:b/>
          <w:color w:val="234A6F"/>
        </w:rPr>
        <w:t xml:space="preserve">FR-23</w:t>
      </w:r>
      <w:r>
        <w:rPr/>
        <w:t xml:space="preserve">  TC-041, TC-055, TC-056</w:t>
      </w:r>
    </w:p>
    <w:p>
      <w:pPr>
        <w:pStyle w:val="Normal"/>
      </w:pPr>
      <w:r>
        <w:rPr>
          <w:b/>
          <w:color w:val="234A6F"/>
        </w:rPr>
        <w:t xml:space="preserve">FR-24</w:t>
      </w:r>
      <w:r>
        <w:rPr/>
        <w:t xml:space="preserve">  TC-028, TC-033, TC-042, TC-049, TC-056, TC-059</w:t>
      </w:r>
    </w:p>
    <w:p>
      <w:pPr>
        <w:pStyle w:val="Normal"/>
      </w:pPr>
      <w:r>
        <w:rPr>
          <w:b/>
          <w:color w:val="234A6F"/>
        </w:rPr>
        <w:t xml:space="preserve">FR-25</w:t>
      </w:r>
      <w:r>
        <w:rPr/>
        <w:t xml:space="preserve">  TC-012, TC-015, TC-016, TC-043, TC-044, TC-050, TC-052, TC-057</w:t>
      </w:r>
    </w:p>
    <w:p>
      <w:pPr>
        <w:pStyle w:val="Normal"/>
      </w:pPr>
      <w:r>
        <w:rPr>
          <w:b/>
          <w:color w:val="234A6F"/>
        </w:rPr>
        <w:t xml:space="preserve">FR-26</w:t>
      </w:r>
      <w:r>
        <w:rPr/>
        <w:t xml:space="preserve">  TC-039, TC-045, TC-059</w:t>
      </w:r>
    </w:p>
    <w:p>
      <w:pPr>
        <w:pStyle w:val="Normal"/>
      </w:pPr>
      <w:r>
        <w:rPr>
          <w:b/>
          <w:color w:val="234A6F"/>
        </w:rPr>
        <w:t xml:space="preserve">FR-27</w:t>
      </w:r>
      <w:r>
        <w:rPr/>
        <w:t xml:space="preserve">  TC-046, TC-059</w:t>
      </w:r>
    </w:p>
    <w:p>
      <w:pPr>
        <w:pStyle w:val="Normal"/>
      </w:pPr>
      <w:r>
        <w:rPr>
          <w:b/>
          <w:color w:val="234A6F"/>
        </w:rPr>
        <w:t xml:space="preserve">FR-28</w:t>
      </w:r>
      <w:r>
        <w:rPr/>
        <w:t xml:space="preserve">  TC-047, TC-051, TC-059</w:t>
      </w:r>
    </w:p>
    <w:p>
      <w:pPr>
        <w:pStyle w:val="Normal"/>
      </w:pPr>
      <w:r>
        <w:rPr>
          <w:b/>
          <w:color w:val="234A6F"/>
        </w:rPr>
        <w:t xml:space="preserve">FR-29</w:t>
      </w:r>
      <w:r>
        <w:rPr/>
        <w:t xml:space="preserve">  TC-036, TC-048, TC-053, TC-058</w:t>
      </w:r>
    </w:p>
    <w:p>
      <w:pPr>
        <w:pStyle w:val="Normal"/>
      </w:pPr>
      <w:r>
        <w:rPr>
          <w:b/>
          <w:color w:val="234A6F"/>
        </w:rPr>
        <w:t xml:space="preserve">FR-30</w:t>
      </w:r>
      <w:r>
        <w:rPr/>
        <w:t xml:space="preserve">  TC-040, TC-049, TC-051, TC-058, TC-059</w:t>
      </w:r>
    </w:p>
    <w:p>
      <w:pPr>
        <w:pStyle w:val="Heading1"/>
      </w:pPr>
      <w:r>
        <w:rPr>
          <w:b/>
          <w:color w:val="0B2545"/>
        </w:rPr>
        <w:t xml:space="preserve">Appendix B | Decision traceability and blocked-test register</w:t>
      </w:r>
    </w:p>
    <w:p>
      <w:pPr>
        <w:pStyle w:val="Normal"/>
      </w:pPr>
      <w:r>
        <w:rPr>
          <w:b/>
          <w:color w:val="234A6F"/>
        </w:rPr>
        <w:t xml:space="preserve">D-01 | Role/action matrix and role naming</w:t>
      </w:r>
      <w:r>
        <w:rPr/>
        <w:t xml:space="preserve">  TC-004, TC-005, TC-006, TC-008, TC-012, TC-019, TC-020, TC-025, TC-026, TC-027, TC-034, TC-035, TC-041, TC-042, TC-055, TC-056 | Stakeholder decision gate</w:t>
      </w:r>
    </w:p>
    <w:p>
      <w:pPr>
        <w:pStyle w:val="Normal"/>
      </w:pPr>
      <w:r>
        <w:rPr>
          <w:b/>
          <w:color w:val="234A6F"/>
        </w:rPr>
        <w:t xml:space="preserve">D-02 | Odoo source fields, ownership, outages, duplicates</w:t>
      </w:r>
      <w:r>
        <w:rPr/>
        <w:t xml:space="preserve">  TC-001, TC-002, TC-003, TC-052 | Stakeholder decision gate</w:t>
      </w:r>
    </w:p>
    <w:p>
      <w:pPr>
        <w:pStyle w:val="Normal"/>
      </w:pPr>
      <w:r>
        <w:rPr>
          <w:b/>
          <w:color w:val="234A6F"/>
        </w:rPr>
        <w:t xml:space="preserve">D-03 | Required fields, formats, date boundaries, timezone, end-date calculation</w:t>
      </w:r>
      <w:r>
        <w:rPr/>
        <w:t xml:space="preserve">  TC-001, TC-002, TC-015, TC-016, TC-017, TC-018, TC-057 | Stakeholder decision gate</w:t>
      </w:r>
    </w:p>
    <w:p>
      <w:pPr>
        <w:pStyle w:val="Normal"/>
      </w:pPr>
      <w:r>
        <w:rPr>
          <w:b/>
          <w:color w:val="234A6F"/>
        </w:rPr>
        <w:t xml:space="preserve">D-04 | Trainer availability, holiday ownership, conflict overrides</w:t>
      </w:r>
      <w:r>
        <w:rPr/>
        <w:t xml:space="preserve">  TC-006, TC-007, TC-016, TC-053 | Stakeholder decision gate</w:t>
      </w:r>
    </w:p>
    <w:p>
      <w:pPr>
        <w:pStyle w:val="Normal"/>
      </w:pPr>
      <w:r>
        <w:rPr>
          <w:b/>
          <w:color w:val="234A6F"/>
        </w:rPr>
        <w:t xml:space="preserve">D-05 | Plan types, duration, code, edits and versioning</w:t>
      </w:r>
      <w:r>
        <w:rPr/>
        <w:t xml:space="preserve">  TC-008, TC-009, TC-010, TC-011, TC-017, TC-055 | Stakeholder decision gate</w:t>
      </w:r>
    </w:p>
    <w:p>
      <w:pPr>
        <w:pStyle w:val="Normal"/>
      </w:pPr>
      <w:r>
        <w:rPr>
          <w:b/>
          <w:color w:val="234A6F"/>
        </w:rPr>
        <w:t xml:space="preserve">D-06 | Master-data owners and file validation, errors and partial saves</w:t>
      </w:r>
      <w:r>
        <w:rPr/>
        <w:t xml:space="preserve">  TC-010, TC-012, TC-015, TC-016, TC-025, TC-043, TC-044, TC-050, TC-055, TC-057 | Stakeholder decision gate</w:t>
      </w:r>
    </w:p>
    <w:p>
      <w:pPr>
        <w:pStyle w:val="Normal"/>
      </w:pPr>
      <w:r>
        <w:rPr>
          <w:b/>
          <w:color w:val="234A6F"/>
        </w:rPr>
        <w:t xml:space="preserve">D-07 | Batch ID, capacity, roster duplicates, identity and re-enrollment</w:t>
      </w:r>
      <w:r>
        <w:rPr/>
        <w:t xml:space="preserve">  TC-015, TC-018, TC-020, TC-021, TC-022, TC-023, TC-024, TC-055, TC-057 | Stakeholder decision gate</w:t>
      </w:r>
    </w:p>
    <w:p>
      <w:pPr>
        <w:pStyle w:val="Normal"/>
      </w:pPr>
      <w:r>
        <w:rPr>
          <w:b/>
          <w:color w:val="234A6F"/>
        </w:rPr>
        <w:t xml:space="preserve">D-08 | Registration window, open/close/reopen and late registration</w:t>
      </w:r>
      <w:r>
        <w:rPr/>
        <w:t xml:space="preserve">  TC-020, TC-021, TC-022, TC-024 | Stakeholder decision gate</w:t>
      </w:r>
    </w:p>
    <w:p>
      <w:pPr>
        <w:pStyle w:val="Normal"/>
      </w:pPr>
      <w:r>
        <w:rPr>
          <w:b/>
          <w:color w:val="234A6F"/>
        </w:rPr>
        <w:t xml:space="preserve">D-09 | Roster approval, rejection, closure and reopening</w:t>
      </w:r>
      <w:r>
        <w:rPr/>
        <w:t xml:space="preserve">  TC-019, TC-024, TC-025 | Stakeholder decision gate</w:t>
      </w:r>
    </w:p>
    <w:p>
      <w:pPr>
        <w:pStyle w:val="Normal"/>
      </w:pPr>
      <w:r>
        <w:rPr>
          <w:b/>
          <w:color w:val="234A6F"/>
        </w:rPr>
        <w:t xml:space="preserve">D-10 | Attendance roles, correction, approval and cutoff</w:t>
      </w:r>
      <w:r>
        <w:rPr/>
        <w:t xml:space="preserve">  TC-026, TC-027, TC-028, TC-042 | Stakeholder decision gate</w:t>
      </w:r>
    </w:p>
    <w:p>
      <w:pPr>
        <w:pStyle w:val="Normal"/>
      </w:pPr>
      <w:r>
        <w:rPr>
          <w:b/>
          <w:color w:val="234A6F"/>
        </w:rPr>
        <w:t xml:space="preserve">D-11 | Resource eligibility, promotion, versioning and existing-batch access</w:t>
      </w:r>
      <w:r>
        <w:rPr/>
        <w:t xml:space="preserve">  TC-013, TC-014 | Stakeholder decision gate</w:t>
      </w:r>
    </w:p>
    <w:p>
      <w:pPr>
        <w:pStyle w:val="Normal"/>
      </w:pPr>
      <w:r>
        <w:rPr>
          <w:b/>
          <w:color w:val="234A6F"/>
        </w:rPr>
        <w:t xml:space="preserve">D-12 | Completion formula and exceptions</w:t>
      </w:r>
      <w:r>
        <w:rPr/>
        <w:t xml:space="preserve">  TC-029, TC-030, TC-048, TC-054 | Stakeholder decision gate</w:t>
      </w:r>
    </w:p>
    <w:p>
      <w:pPr>
        <w:pStyle w:val="Normal"/>
      </w:pPr>
      <w:r>
        <w:rPr>
          <w:b/>
          <w:color w:val="234A6F"/>
        </w:rPr>
        <w:t xml:space="preserve">D-13 | Certificate eligibility, issuance, numbering, reissue and revocation</w:t>
      </w:r>
      <w:r>
        <w:rPr/>
        <w:t xml:space="preserve">  TC-031, TC-032, TC-033, TC-054 | Stakeholder decision gate</w:t>
      </w:r>
    </w:p>
    <w:p>
      <w:pPr>
        <w:pStyle w:val="Normal"/>
      </w:pPr>
      <w:r>
        <w:rPr>
          <w:b/>
          <w:color w:val="234A6F"/>
        </w:rPr>
        <w:t xml:space="preserve">D-14 | Metric definitions, transitions, refresh, filters, exports, retention</w:t>
      </w:r>
      <w:r>
        <w:rPr/>
        <w:t xml:space="preserve">  TC-029, TC-030, TC-034, TC-035, TC-036, TC-037, TC-038, TC-040, TC-042, TC-048, TC-049, TC-053, TC-054, TC-056, TC-058 | Stakeholder decision gate</w:t>
      </w:r>
    </w:p>
    <w:p>
      <w:pPr>
        <w:pStyle w:val="Normal"/>
      </w:pPr>
      <w:r>
        <w:rPr>
          <w:b/>
          <w:color w:val="234A6F"/>
        </w:rPr>
        <w:t xml:space="preserve">D-15 | PI inventory, masking, encryption, audit and retention</w:t>
      </w:r>
      <w:r>
        <w:rPr/>
        <w:t xml:space="preserve">  TC-032, TC-033, TC-038, TC-039, TC-040, TC-042, TC-045, TC-049, TC-059 | Stakeholder decision gate</w:t>
      </w:r>
    </w:p>
    <w:p>
      <w:pPr>
        <w:pStyle w:val="Normal"/>
      </w:pPr>
      <w:r>
        <w:rPr>
          <w:b/>
          <w:color w:val="234A6F"/>
        </w:rPr>
        <w:t xml:space="preserve">D-16 | OTP provider, expiry, retries and login cool-off trigger/scope</w:t>
      </w:r>
      <w:r>
        <w:rPr/>
        <w:t xml:space="preserve">  TC-023, TC-040, TC-046, TC-047, TC-049, TC-051, TC-059 | Stakeholder decision gate</w:t>
      </w:r>
    </w:p>
    <w:p>
      <w:pPr>
        <w:pStyle w:val="Normal"/>
      </w:pPr>
      <w:r>
        <w:rPr>
          <w:b/>
          <w:color w:val="234A6F"/>
        </w:rPr>
        <w:t xml:space="preserve">D-17 | Security architecture, URL requirement, file controls and secrets</w:t>
      </w:r>
      <w:r>
        <w:rPr/>
        <w:t xml:space="preserve">  TC-012, TC-039, TC-043, TC-044, TC-045, TC-052, TC-059 | Stakeholder decision gate</w:t>
      </w:r>
    </w:p>
    <w:p>
      <w:pPr>
        <w:pStyle w:val="Normal"/>
      </w:pPr>
      <w:r>
        <w:rPr>
          <w:b/>
          <w:color w:val="234A6F"/>
        </w:rPr>
        <w:t xml:space="preserve">D-18 | Multi-project switching and auto-selection</w:t>
      </w:r>
      <w:r>
        <w:rPr/>
        <w:t xml:space="preserve">  TC-004, TC-035, TC-041, TC-056 | Stakeholder decision gate</w:t>
      </w:r>
    </w:p>
    <w:p>
      <w:pPr>
        <w:pStyle w:val="Normal"/>
      </w:pPr>
      <w:r>
        <w:rPr>
          <w:b/>
          <w:color w:val="234A6F"/>
        </w:rPr>
        <w:t xml:space="preserve">D-19 | Failure messages and recovery behavior</w:t>
      </w:r>
      <w:r>
        <w:rPr/>
        <w:t xml:space="preserve">  TC-003, TC-050, TC-051, TC-052 | Stakeholder decision gate</w:t>
      </w:r>
    </w:p>
    <w:p>
      <w:pPr>
        <w:pStyle w:val="Normal"/>
      </w:pPr>
      <w:r>
        <w:rPr>
          <w:b/>
          <w:color w:val="234A6F"/>
        </w:rPr>
        <w:t xml:space="preserve">D-20 | Nonfunctional targets and support model</w:t>
      </w:r>
      <w:r>
        <w:rPr/>
        <w:t xml:space="preserve">  TC-058 | Stakeholder decision gate</w:t>
      </w:r>
    </w:p>
    <w:p>
      <w:pPr>
        <w:pStyle w:val="Heading1"/>
      </w:pPr>
      <w:r>
        <w:rPr>
          <w:b/>
          <w:color w:val="0B2545"/>
        </w:rPr>
        <w:t xml:space="preserve">Appendix C | Confirmed business rule coverage</w:t>
      </w:r>
    </w:p>
    <w:p>
      <w:pPr>
        <w:pStyle w:val="Normal"/>
      </w:pPr>
      <w:r>
        <w:rPr>
          <w:b/>
          <w:color w:val="234A6F"/>
        </w:rPr>
        <w:t xml:space="preserve">BR-01</w:t>
      </w:r>
      <w:r>
        <w:rPr/>
        <w:t xml:space="preserve">  TC-001, TC-002, TC-003, TC-004, TC-034, TC-035, TC-041, TC-055, TC-056</w:t>
      </w:r>
    </w:p>
    <w:p>
      <w:pPr>
        <w:pStyle w:val="Normal"/>
      </w:pPr>
      <w:r>
        <w:rPr>
          <w:b/>
          <w:color w:val="234A6F"/>
        </w:rPr>
        <w:t xml:space="preserve">BR-02</w:t>
      </w:r>
      <w:r>
        <w:rPr/>
        <w:t xml:space="preserve">  TC-001, TC-008, TC-015, TC-055</w:t>
      </w:r>
    </w:p>
    <w:p>
      <w:pPr>
        <w:pStyle w:val="Normal"/>
      </w:pPr>
      <w:r>
        <w:rPr>
          <w:b/>
          <w:color w:val="234A6F"/>
        </w:rPr>
        <w:t xml:space="preserve">BR-03</w:t>
      </w:r>
      <w:r>
        <w:rPr/>
        <w:t xml:space="preserve">  TC-008, TC-009</w:t>
      </w:r>
    </w:p>
    <w:p>
      <w:pPr>
        <w:pStyle w:val="Normal"/>
      </w:pPr>
      <w:r>
        <w:rPr>
          <w:b/>
          <w:color w:val="234A6F"/>
        </w:rPr>
        <w:t xml:space="preserve">BR-04</w:t>
      </w:r>
      <w:r>
        <w:rPr/>
        <w:t xml:space="preserve">  TC-010, TC-011, TC-013, TC-014</w:t>
      </w:r>
    </w:p>
    <w:p>
      <w:pPr>
        <w:pStyle w:val="Normal"/>
      </w:pPr>
      <w:r>
        <w:rPr>
          <w:b/>
          <w:color w:val="234A6F"/>
        </w:rPr>
        <w:t xml:space="preserve">BR-05</w:t>
      </w:r>
      <w:r>
        <w:rPr/>
        <w:t xml:space="preserve">  TC-015, TC-016, TC-017, TC-018, TC-057</w:t>
      </w:r>
    </w:p>
    <w:p>
      <w:pPr>
        <w:pStyle w:val="Normal"/>
      </w:pPr>
      <w:r>
        <w:rPr>
          <w:b/>
          <w:color w:val="234A6F"/>
        </w:rPr>
        <w:t xml:space="preserve">BR-06</w:t>
      </w:r>
      <w:r>
        <w:rPr/>
        <w:t xml:space="preserve">  TC-006, TC-007, TC-016, TC-053</w:t>
      </w:r>
    </w:p>
    <w:p>
      <w:pPr>
        <w:pStyle w:val="Normal"/>
      </w:pPr>
      <w:r>
        <w:rPr>
          <w:b/>
          <w:color w:val="234A6F"/>
        </w:rPr>
        <w:t xml:space="preserve">BR-07</w:t>
      </w:r>
      <w:r>
        <w:rPr/>
        <w:t xml:space="preserve">  TC-018, TC-020, TC-021, TC-022, TC-023, TC-024, TC-025, TC-057</w:t>
      </w:r>
    </w:p>
    <w:p>
      <w:pPr>
        <w:pStyle w:val="Normal"/>
      </w:pPr>
      <w:r>
        <w:rPr>
          <w:b/>
          <w:color w:val="234A6F"/>
        </w:rPr>
        <w:t xml:space="preserve">BR-08</w:t>
      </w:r>
      <w:r>
        <w:rPr/>
        <w:t xml:space="preserve">  TC-024, TC-025</w:t>
      </w:r>
    </w:p>
    <w:p>
      <w:pPr>
        <w:pStyle w:val="Normal"/>
      </w:pPr>
      <w:r>
        <w:rPr>
          <w:b/>
          <w:color w:val="234A6F"/>
        </w:rPr>
        <w:t xml:space="preserve">BR-09</w:t>
      </w:r>
      <w:r>
        <w:rPr/>
        <w:t xml:space="preserve">  TC-026, TC-027, TC-028</w:t>
      </w:r>
    </w:p>
    <w:p>
      <w:pPr>
        <w:pStyle w:val="Normal"/>
      </w:pPr>
      <w:r>
        <w:rPr>
          <w:b/>
          <w:color w:val="234A6F"/>
        </w:rPr>
        <w:t xml:space="preserve">BR-10</w:t>
      </w:r>
      <w:r>
        <w:rPr/>
        <w:t xml:space="preserve">  TC-004, TC-005, TC-012, TC-019, TC-028, TC-032, TC-033, TC-035, TC-036, TC-037, TC-038, TC-040, TC-041, TC-042, TC-043, TC-044, TC-046, TC-047, TC-048, TC-049, TC-050, TC-051, TC-052, TC-056, TC-058, TC-059</w:t>
      </w:r>
    </w:p>
    <w:p>
      <w:pPr>
        <w:pStyle w:val="Normal"/>
      </w:pPr>
      <w:r>
        <w:rPr>
          <w:b/>
          <w:color w:val="234A6F"/>
        </w:rPr>
        <w:t xml:space="preserve">BR-11</w:t>
      </w:r>
      <w:r>
        <w:rPr/>
        <w:t xml:space="preserve">  TC-038, TC-039, TC-042, TC-045, TC-049, TC-051, TC-059</w:t>
      </w:r>
    </w:p>
    <w:p>
      <w:pPr>
        <w:pStyle w:val="Normal"/>
      </w:pPr>
      <w:r>
        <w:rPr>
          <w:b/>
          <w:color w:val="234A6F"/>
        </w:rPr>
        <w:t xml:space="preserve">BR-12</w:t>
      </w:r>
      <w:r>
        <w:rPr/>
        <w:t xml:space="preserve">  TC-029, TC-030, TC-031, TC-032, TC-033, TC-048, TC-054</w:t>
      </w:r>
    </w:p>
    <w:p>
      <w:pPr>
        <w:pStyle w:val="Heading1"/>
      </w:pPr>
      <w:r>
        <w:rPr>
          <w:b/>
          <w:color w:val="0B2545"/>
        </w:rPr>
        <w:t xml:space="preserve">Appendix D | Exit criteria and sign-off</w:t>
      </w:r>
    </w:p>
    <w:p>
      <w:pPr>
        <w:pStyle w:val="Normal"/>
      </w:pPr>
      <w:r>
        <w:rPr/>
        <w:t xml:space="preserve">UAT exit requires all READY P1 cases to pass; each relevant BLOCKED case to receive an approved oracle and pass; evidence for every FR and confirmed BR; demonstration of authorization, upload integrity, registration capacity, future-attendance rejection, PI masking, certificate gating and audit; no unresolved critical/high security or data-integrity issue; and stakeholder approvals.</w:t>
      </w:r>
    </w:p>
    <w:p>
      <w:pPr>
        <w:pStyle w:val="Normal"/>
      </w:pPr>
      <w:r>
        <w:rPr/>
        <w:t xml:space="preserve">Business Owner __________ Date ______ | Project Owner __________ Date ______ | Technical Owner __________ Date ______ | Information Security / Compliance __________ Date ______ | QA/Test Lead __________ Date ______</w:t>
      </w:r>
    </w:p>
    <w:p>
      <w:pPr>
        <w:pStyle w:val="Heading2"/>
      </w:pPr>
      <w:r>
        <w:rPr>
          <w:b/>
          <w:color w:val="234A6F"/>
        </w:rPr>
        <w:t xml:space="preserve">Source</w:t>
      </w:r>
    </w:p>
    <w:p>
      <w:pPr>
        <w:pStyle w:val="Normal"/>
      </w:pPr>
      <w:r>
        <w:rPr/>
        <w:t xml:space="preserve">Teacher-Training-Tracker-PRD.docx, draft for stakeholder review, prepared 15 October 2026. The PRD remains authoritative for requirement meaning.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  <w:cols w:space="72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pStyle w:val="Header"/>
    </w:pPr>
    <w:r>
      <w:rPr>
        <w:color w:val="667085"/>
        <w:sz w:val="17"/>
      </w:rPr>
      <w:t>Teacher Training Tracker | Product Requirements Document | Draft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Calibri" w:hAnsi="Calibri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before="0" w:after="120" w:line="264" w:lineRule="auto"/>
      </w:pPr>
    </w:pPrDefault>
  </w:docDefaults>
  <w:style w:type="paragraph" w:default="1" w:styleId="Normal">
    <w:name w:val="Normal"/>
    <w:rPr>
      <w:rFonts w:ascii="Calibri" w:hAnsi="Calibri"/>
      <w:sz w:val="22"/>
    </w:rPr>
    <w:pPr>
      <w:spacing w:before="0" w:after="120" w:line="264" w:lineRule="auto"/>
    </w:pPr>
  </w:style>
  <w:style w:type="paragraph" w:styleId="Title">
    <w:name w:val="Title"/>
    <w:basedOn w:val="Normal"/>
    <w:qFormat/>
    <w:pPr>
      <w:spacing w:before="0" w:after="80" w:line="280" w:lineRule="auto"/>
      <w:keepNext/>
    </w:pPr>
    <w:rPr>
      <w:rFonts w:ascii="Calibri" w:hAnsi="Calibri"/>
      <w:b/>
      <w:color w:val="0B2545"/>
      <w:sz w:val="56"/>
      <w:szCs w:val="56"/>
    </w:rPr>
  </w:style>
  <w:style w:type="paragraph" w:styleId="Subtitle">
    <w:name w:val="Subtitle"/>
    <w:basedOn w:val="Normal"/>
    <w:pPr>
      <w:spacing w:before="0" w:after="200" w:line="280" w:lineRule="auto"/>
      <w:keepNext/>
    </w:pPr>
    <w:rPr>
      <w:color w:val="465466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keepLines/>
      <w:spacing w:before="320" w:after="160" w:line="264" w:lineRule="auto"/>
      <w:outlineLvl w:val="0"/>
    </w:pPr>
    <w:rPr>
      <w:rFonts w:ascii="Calibri" w:hAnsi="Calibr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 w:line="264" w:lineRule="auto"/>
      <w:outlineLvl w:val="1"/>
    </w:pPr>
    <w:rPr>
      <w:rFonts w:ascii="Calibri" w:hAnsi="Calibri"/>
      <w:b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160" w:after="80" w:line="264" w:lineRule="auto"/>
      <w:outlineLvl w:val="2"/>
    </w:pPr>
    <w:rPr>
      <w:rFonts w:ascii="Calibri" w:hAnsi="Calibri"/>
      <w:b/>
      <w:color w:val="1F4D78"/>
      <w:sz w:val="24"/>
      <w:szCs w:val="24"/>
    </w:rPr>
  </w:style>
  <w:style w:type="paragraph" w:styleId="Kicker">
    <w:name w:val="Kicker"/>
    <w:basedOn w:val="Normal"/>
    <w:pPr>
      <w:spacing w:before="0" w:after="60"/>
      <w:keepNext/>
    </w:pPr>
    <w:rPr>
      <w:b/>
      <w:color w:val="2E74B5"/>
      <w:sz w:val="20"/>
    </w:rPr>
  </w:style>
  <w:style w:type="paragraph" w:styleId="StatusLine">
    <w:name w:val="Status Line"/>
    <w:basedOn w:val="Normal"/>
    <w:pPr>
      <w:spacing w:before="0" w:after="100"/>
      <w:keepNext/>
    </w:pPr>
    <w:rPr>
      <w:b/>
      <w:color w:val="7A5A00"/>
      <w:sz w:val="22"/>
    </w:rPr>
  </w:style>
  <w:style w:type="paragraph" w:styleId="Meta">
    <w:name w:val="Metadata"/>
    <w:basedOn w:val="Normal"/>
    <w:pPr>
      <w:spacing w:before="0" w:after="40" w:line="240"/>
    </w:pPr>
    <w:rPr>
      <w:color w:val="555555"/>
      <w:sz w:val="18"/>
    </w:rPr>
  </w:style>
  <w:style w:type="paragraph" w:styleId="Small">
    <w:name w:val="Small"/>
    <w:basedOn w:val="Normal"/>
    <w:pPr>
      <w:spacing w:before="0" w:after="80" w:line="240"/>
    </w:pPr>
    <w:rPr>
      <w:color w:val="555555"/>
      <w:sz w:val="18"/>
    </w:rPr>
  </w:style>
  <w:style w:type="paragraph" w:styleId="Callout">
    <w:name w:val="Callout"/>
    <w:basedOn w:val="Normal"/>
    <w:pPr>
      <w:spacing w:before="80" w:after="160" w:line="264"/>
      <w:ind w:left="180" w:right="180"/>
      <w:shd w:val="clear" w:color="auto" w:fill="F4F6F9"/>
    </w:pPr>
    <w:rPr>
      <w:color w:val="0B2545"/>
    </w:rPr>
  </w:style>
  <w:style w:type="paragraph" w:styleId="ListPara">
    <w:name w:val="List Paragraph"/>
    <w:basedOn w:val="Normal"/>
    <w:pPr>
      <w:spacing w:before="0" w:after="160" w:line="280" w:lineRule="auto"/>
      <w:ind w:left="720" w:hanging="360"/>
    </w:pPr>
  </w:style>
  <w:style w:type="paragraph" w:styleId="TableText">
    <w:name w:val="Table Text"/>
    <w:basedOn w:val="Normal"/>
    <w:pPr>
      <w:spacing w:before="0" w:after="0" w:line="240" w:lineRule="auto"/>
      <w:widowControl/>
    </w:pPr>
    <w:rPr>
      <w:rFonts w:ascii="Calibri" w:hAnsi="Calibri"/>
      <w:sz w:val="18"/>
      <w:szCs w:val="18"/>
    </w:rPr>
  </w:style>
  <w:style w:type="paragraph" w:styleId="TableGap">
    <w:name w:val="Table Gap"/>
    <w:basedOn w:val="Normal"/>
    <w:pPr>
      <w:spacing w:before="0" w:after="120" w:line="120"/>
    </w:pPr>
    <w:rPr>
      <w:sz w:val="2"/>
    </w:rPr>
  </w:style>
  <w:style w:type="paragraph" w:styleId="Header">
    <w:name w:val="header"/>
    <w:basedOn w:val="Normal"/>
    <w:pPr>
      <w:spacing w:before="0" w:after="0"/>
    </w:pPr>
    <w:rPr>
      <w:color w:val="667085"/>
      <w:sz w:val="17"/>
    </w:rPr>
  </w:style>
  <w:style w:type="paragraph" w:styleId="Footer">
    <w:name w:val="footer"/>
    <w:basedOn w:val="Normal"/>
    <w:pPr>
      <w:jc w:val="right"/>
      <w:spacing w:before="0" w:after="0"/>
    </w:pPr>
    <w:rPr>
      <w:color w:val="667085"/>
      <w:sz w:val="1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Training Tracker - Product Requirements Document</dc:title>
  <dc:subject>Stakeholder requirements and acceptance test cases</dc:subject>
  <dc:creator>OpenAI</dc:creator>
  <cp:keywords>PRD, teacher training, training tracker, certification, acceptance tests</cp:keywords>
  <dcterms:created xsi:type="dcterms:W3CDTF">2026-10-15T00:00:00Z</dcterms:created>
  <dcterms:modified xsi:type="dcterms:W3CDTF">2026-10-15T00:00:00Z</dcterms:modified>
</cp:coreProperties>
</file>