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sz w:val="24"/>
          <w:szCs w:val="24"/>
        </w:rPr>
        <w:t xml:space="preserve">PROPOSAL</w:t>
      </w:r>
    </w:p>
    <w:p>
      <w:pPr>
        <w:spacing w:after="160" w:before="0" w:line="276"/>
        <w:jc w:val="left"/>
      </w:pPr>
      <w:r>
        <w:rPr>
          <w:rFonts w:ascii="Times New Roman" w:cs="Times New Roman" w:eastAsia="Times New Roman" w:hAnsi="Times New Roman"/>
          <w:b/>
          <w:bCs/>
          <w:sz w:val="24"/>
          <w:szCs w:val="24"/>
        </w:rPr>
        <w:t xml:space="preserve">Title of the Project:</w:t>
      </w:r>
      <w:r>
        <w:rPr>
          <w:rFonts w:ascii="Times New Roman" w:cs="Times New Roman" w:eastAsia="Times New Roman" w:hAnsi="Times New Roman"/>
          <w:sz w:val="24"/>
          <w:szCs w:val="24"/>
        </w:rPr>
        <w:t xml:space="preserve">  SOLAR-POWERED AUTOMATED BORE-WELL SAFETY SYSTEM WITH INTEGRATED WATER HARVESTING</w:t>
      </w:r>
    </w:p>
    <w:p>
      <w:pPr>
        <w:keepNext/>
        <w:spacing w:after="100" w:before="200" w:line="276"/>
        <w:jc w:val="left"/>
      </w:pPr>
      <w:r>
        <w:rPr>
          <w:rFonts w:ascii="Times New Roman" w:cs="Times New Roman" w:eastAsia="Times New Roman" w:hAnsi="Times New Roman"/>
          <w:b/>
          <w:bCs/>
          <w:sz w:val="24"/>
          <w:szCs w:val="24"/>
        </w:rPr>
        <w:t xml:space="preserve">1.  Project Summary (max 300 words):</w:t>
      </w:r>
    </w:p>
    <w:p>
      <w:pPr>
        <w:spacing w:after="120" w:before="0" w:line="276"/>
        <w:jc w:val="both"/>
      </w:pPr>
      <w:r>
        <w:rPr>
          <w:rFonts w:ascii="Times New Roman" w:cs="Times New Roman" w:eastAsia="Times New Roman" w:hAnsi="Times New Roman"/>
          <w:sz w:val="24"/>
          <w:szCs w:val="24"/>
        </w:rPr>
        <w:t xml:space="preserve">Uncovered, abandoned, and inadequately protected borewells pose significant safety risks to rural and agricultural communities, particularly to children and other vulnerable groups. At the same time, increasing dependence on groundwater highlights the need for greater awareness of rainwater harvesting and groundwater recharge practices. The proposed project addresses these interconnected challenges through science communication, technology demonstration, experiential learning, and community capacity building.</w:t>
      </w:r>
    </w:p>
    <w:p>
      <w:pPr>
        <w:spacing w:after="120" w:before="0" w:line="276"/>
        <w:jc w:val="both"/>
      </w:pPr>
      <w:r>
        <w:rPr>
          <w:rFonts w:ascii="Times New Roman" w:cs="Times New Roman" w:eastAsia="Times New Roman" w:hAnsi="Times New Roman"/>
          <w:sz w:val="24"/>
          <w:szCs w:val="24"/>
        </w:rPr>
        <w:t xml:space="preserve">The project proposes the development and demonstration of a Solar-Powered Automated Borewell Safety System with Integrated Water Harvesting as a scientific communication and awareness tool. The system integrates motion detection, automated protective-cover operation, rainfall sensing, solar energy, and controlled rainwater collection. The technology will demonstrate how sensors, automation and renewable energy can be applied to improve borewell safety while promoting sustainable water management. The proposed system is based on the prototype concept documented for the project.</w:t>
      </w:r>
    </w:p>
    <w:p>
      <w:pPr>
        <w:spacing w:after="120" w:before="0" w:line="276"/>
        <w:jc w:val="both"/>
      </w:pPr>
      <w:r>
        <w:rPr>
          <w:rFonts w:ascii="Times New Roman" w:cs="Times New Roman" w:eastAsia="Times New Roman" w:hAnsi="Times New Roman"/>
          <w:sz w:val="24"/>
          <w:szCs w:val="24"/>
        </w:rPr>
        <w:t xml:space="preserve">Over a period of 12 months, the project will engage rural and agricultural communities, students, teachers, farmers, and local community representatives through awareness programmes, hands-on technology demonstrations, community consultations, safety workshops, and multilingual science communication materials. Participants will gain practical understanding of borewell hazards, sensor-based automation, solar energy, rainwater harvesting, and groundwater recharge.</w:t>
      </w:r>
    </w:p>
    <w:p>
      <w:pPr>
        <w:spacing w:after="120" w:before="0" w:line="276"/>
        <w:jc w:val="both"/>
      </w:pPr>
      <w:r>
        <w:rPr>
          <w:rFonts w:ascii="Times New Roman" w:cs="Times New Roman" w:eastAsia="Times New Roman" w:hAnsi="Times New Roman"/>
          <w:sz w:val="24"/>
          <w:szCs w:val="24"/>
        </w:rPr>
        <w:t xml:space="preserve">The project will conduct baseline and end-line assessments to measure changes in scientific knowledge, safety awareness, risk perception, and understanding of sustainable water-management practices. The expected outcomes include improved community awareness of borewell safety, enhanced scientific literacy, increased capacity to identify and respond to potential hazards, and greater awareness of sustainable water conservation and groundwater-recharge practices.</w:t>
      </w:r>
    </w:p>
    <w:p>
      <w:pPr>
        <w:keepNext/>
        <w:spacing w:after="100" w:before="200" w:line="276"/>
        <w:jc w:val="left"/>
      </w:pPr>
      <w:r>
        <w:rPr>
          <w:rFonts w:ascii="Times New Roman" w:cs="Times New Roman" w:eastAsia="Times New Roman" w:hAnsi="Times New Roman"/>
          <w:b/>
          <w:bCs/>
          <w:sz w:val="24"/>
          <w:szCs w:val="24"/>
        </w:rPr>
        <w:t xml:space="preserve">2.  Details of Principal Investigator/Principal 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Name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K. Raju</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Date of Birth (DD/MM/YYYY)</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[DD/MM/YYYY]</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Gender (Male/Female/Others)</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Male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Category (Gen/OBC/SC/ST)</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[Gen/OBC/SC/ST]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Designation</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Assistant Professor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Name &amp; Address of Affiliated Organization with Pin Code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CMR College of Engineering &amp; Technology, Kandlakoya, Medchal - 501401</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Website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https://cmrcet.ac.in/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Govt./Not for Profit/Autonomous (please specify)</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Autonomous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Email ID</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kraju@cmrcet.ac.in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Mobile no.</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9441236053</w:t>
            </w:r>
          </w:p>
        </w:tc>
      </w:tr>
    </w:tbl>
    <w:p>
      <w:pPr>
        <w:keepNext/>
        <w:spacing w:after="100" w:before="200" w:line="276"/>
        <w:jc w:val="left"/>
      </w:pPr>
      <w:r>
        <w:rPr>
          <w:rFonts w:ascii="Times New Roman" w:cs="Times New Roman" w:eastAsia="Times New Roman" w:hAnsi="Times New Roman"/>
          <w:b/>
          <w:bCs/>
          <w:sz w:val="24"/>
          <w:szCs w:val="24"/>
        </w:rPr>
        <w:t xml:space="preserve">3.  Details of Co-Investigator/Co-Coordinator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Name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Shankumar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Date of Birth (DD/MM/YYYY)</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[DD/MM/YYYY]</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Gender (Male/Female/Others)</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[Male/Female/Others]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Category (Gen/OBC/SC/ST)</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[Gen/OBC/SC/ST]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Designation</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B.Tech (Computer Science and Engineering – Data Science) Student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Name &amp; Address of Affiliated Organization with Pin Code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CMR College of Engineering &amp; Technology, Kandlakoya, Medchal - 501401</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Website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https://cmrcet.ac.in/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Govt./Not for Profit/Autonomous (please specify)</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Autonomous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Email ID</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[Email ID]</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Telephone no.</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[Telephone no.]</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Mobile no.</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[Mobile no.]</w:t>
            </w:r>
          </w:p>
        </w:tc>
      </w:tr>
    </w:tbl>
    <w:p>
      <w:pPr>
        <w:keepNext/>
        <w:spacing w:after="100" w:before="200" w:line="276"/>
        <w:jc w:val="left"/>
      </w:pPr>
      <w:r>
        <w:rPr>
          <w:rFonts w:ascii="Times New Roman" w:cs="Times New Roman" w:eastAsia="Times New Roman" w:hAnsi="Times New Roman"/>
          <w:b/>
          <w:bCs/>
          <w:sz w:val="24"/>
          <w:szCs w:val="24"/>
        </w:rPr>
        <w:t xml:space="preserve">4.  Name &amp; Address of the Proposer Agency/Organization/Institution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Name and Address</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CMR College of Engineering &amp; Technology, Kandlakoya, Medchal - 501401</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Website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https://cmrcet.ac.in/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Registration Number (if applicable)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[Registration number]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Establishment Year</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2002</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NGO Darpan Unique Id (http://ngo.india.gov.in/)</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[If applicable]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PFMS Unique ID</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[PFMS ID]</w:t>
            </w:r>
          </w:p>
        </w:tc>
      </w:tr>
    </w:tbl>
    <w:p>
      <w:pPr>
        <w:keepNext/>
        <w:spacing w:after="100" w:before="200" w:line="276"/>
        <w:jc w:val="left"/>
      </w:pPr>
      <w:r>
        <w:rPr>
          <w:rFonts w:ascii="Times New Roman" w:cs="Times New Roman" w:eastAsia="Times New Roman" w:hAnsi="Times New Roman"/>
          <w:b/>
          <w:bCs/>
          <w:sz w:val="24"/>
          <w:szCs w:val="24"/>
        </w:rPr>
        <w:t xml:space="preserve">5.  Name and Designation of the Head of the Proposer Organization:</w:t>
      </w:r>
    </w:p>
    <w:p>
      <w:pPr>
        <w:spacing w:after="120" w:before="0" w:line="276"/>
        <w:jc w:val="left"/>
      </w:pPr>
      <w:r>
        <w:rPr>
          <w:rFonts w:ascii="Times New Roman" w:cs="Times New Roman" w:eastAsia="Times New Roman" w:hAnsi="Times New Roman"/>
          <w:sz w:val="24"/>
          <w:szCs w:val="24"/>
          <w:highlight w:val="yellow"/>
          <w:highlightCs w:val="yellow"/>
        </w:rPr>
        <w:t xml:space="preserve">[Name]</w:t>
      </w:r>
      <w:r>
        <w:rPr>
          <w:rFonts w:ascii="Times New Roman" w:cs="Times New Roman" w:eastAsia="Times New Roman" w:hAnsi="Times New Roman"/>
          <w:sz w:val="24"/>
          <w:szCs w:val="24"/>
        </w:rPr>
        <w:t xml:space="preserve">, Principal, CMR College of Engineering &amp; Technology</w:t>
      </w:r>
    </w:p>
    <w:p>
      <w:pPr>
        <w:keepNext/>
        <w:spacing w:after="100" w:before="200" w:line="276"/>
        <w:jc w:val="left"/>
      </w:pPr>
      <w:r>
        <w:rPr>
          <w:rFonts w:ascii="Times New Roman" w:cs="Times New Roman" w:eastAsia="Times New Roman" w:hAnsi="Times New Roman"/>
          <w:b/>
          <w:bCs/>
          <w:sz w:val="24"/>
          <w:szCs w:val="24"/>
        </w:rPr>
        <w:t xml:space="preserve">6.  Partner/Collaborating Agency/Institution (If any):</w:t>
      </w:r>
    </w:p>
    <w:p>
      <w:pPr>
        <w:spacing w:after="120" w:before="0" w:line="276"/>
        <w:jc w:val="both"/>
      </w:pPr>
      <w:r>
        <w:rPr>
          <w:rFonts w:ascii="Times New Roman" w:cs="Times New Roman" w:eastAsia="Times New Roman" w:hAnsi="Times New Roman"/>
          <w:sz w:val="24"/>
          <w:szCs w:val="24"/>
        </w:rPr>
        <w:t xml:space="preserve">Proposed partners, subject to confirmation: the local Gram Panchayat(s) of the target villages, for site permissions and community mobilisation; and local agriculture/groundwater officials, for guidance on borewell status and safety norms. </w:t>
      </w:r>
      <w:r>
        <w:rPr>
          <w:rFonts w:ascii="Times New Roman" w:cs="Times New Roman" w:eastAsia="Times New Roman" w:hAnsi="Times New Roman"/>
          <w:sz w:val="24"/>
          <w:szCs w:val="24"/>
          <w:highlight w:val="yellow"/>
          <w:highlightCs w:val="yellow"/>
        </w:rPr>
        <w:t xml:space="preserve">[Add partner name(s) or write “Nil”]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Registration Number (if applicable)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[Registration number]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Establishment Year</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[Year]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NGO Darpan Unique Id</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[If applicable]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PFMS Unique ID</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[PFMS ID]</w:t>
            </w:r>
          </w:p>
        </w:tc>
      </w:tr>
    </w:tbl>
    <w:p>
      <w:pPr>
        <w:keepNext/>
        <w:spacing w:after="100" w:before="200" w:line="276"/>
        <w:jc w:val="left"/>
      </w:pPr>
      <w:r>
        <w:rPr>
          <w:rFonts w:ascii="Times New Roman" w:cs="Times New Roman" w:eastAsia="Times New Roman" w:hAnsi="Times New Roman"/>
          <w:b/>
          <w:bCs/>
          <w:sz w:val="24"/>
          <w:szCs w:val="24"/>
        </w:rPr>
        <w:t xml:space="preserve">7.  Proposed Area for Activity (if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Village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Kandlakoya and neighbouring villages </w:t>
            </w:r>
            <w:r>
              <w:rPr>
                <w:rFonts w:ascii="Times New Roman" w:cs="Times New Roman" w:eastAsia="Times New Roman" w:hAnsi="Times New Roman"/>
                <w:sz w:val="24"/>
                <w:szCs w:val="24"/>
                <w:highlight w:val="yellow"/>
                <w:highlightCs w:val="yellow"/>
              </w:rPr>
              <w:t xml:space="preserve">[confirm final list of villages]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Block</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Medchal</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District</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Medchal–Malkajgiri</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State</w:t>
            </w:r>
          </w:p>
        </w:tc>
        <w:tc>
          <w:tcPr>
            <w:tcW w:type="dxa" w:w="57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Telangana</w:t>
            </w:r>
          </w:p>
        </w:tc>
      </w:tr>
    </w:tbl>
    <w:p>
      <w:pPr>
        <w:keepNext/>
        <w:spacing w:after="100" w:before="200" w:line="276"/>
        <w:jc w:val="left"/>
      </w:pPr>
      <w:r>
        <w:rPr>
          <w:rFonts w:ascii="Times New Roman" w:cs="Times New Roman" w:eastAsia="Times New Roman" w:hAnsi="Times New Roman"/>
          <w:b/>
          <w:bCs/>
          <w:sz w:val="24"/>
          <w:szCs w:val="24"/>
        </w:rPr>
        <w:t xml:space="preserve">8.  Please select the appropriate stakeholder:</w:t>
      </w:r>
    </w:p>
    <w:p>
      <w:pPr>
        <w:spacing w:after="120" w:before="0" w:line="276"/>
        <w:jc w:val="left"/>
      </w:pPr>
      <w:r>
        <w:rPr>
          <w:rFonts w:ascii="Times New Roman" w:cs="Times New Roman" w:eastAsia="Times New Roman" w:hAnsi="Times New Roman"/>
          <w:sz w:val="24"/>
          <w:szCs w:val="24"/>
        </w:rPr>
        <w:t xml:space="preserve">[  ] Children      [X] Students      [  ] Researchers      [  ] Elderly      [  ] Women      [X] General      [X] Other (please specify): Farmers, teachers and local community representatives</w:t>
      </w:r>
    </w:p>
    <w:p>
      <w:pPr>
        <w:keepNext/>
        <w:spacing w:after="100" w:before="200" w:line="276"/>
        <w:jc w:val="both"/>
      </w:pPr>
      <w:r>
        <w:rPr>
          <w:rFonts w:ascii="Times New Roman" w:cs="Times New Roman" w:eastAsia="Times New Roman" w:hAnsi="Times New Roman"/>
          <w:b/>
          <w:bCs/>
          <w:sz w:val="24"/>
          <w:szCs w:val="24"/>
        </w:rPr>
        <w:t xml:space="preserve">9.  Proposed Objectives</w:t>
      </w:r>
      <w:r>
        <w:rPr>
          <w:rFonts w:ascii="Times New Roman" w:cs="Times New Roman" w:eastAsia="Times New Roman" w:hAnsi="Times New Roman"/>
          <w:i/>
          <w:iCs/>
          <w:sz w:val="24"/>
          <w:szCs w:val="24"/>
        </w:rPr>
        <w:t xml:space="preserve"> (Outline the specific objectives of the project, including those related to specific areas mentioned, maximum five)</w:t>
      </w:r>
    </w:p>
    <w:p>
      <w:pPr>
        <w:spacing w:after="100" w:before="0" w:line="276"/>
        <w:ind w:left="540" w:hanging="540"/>
        <w:jc w:val="both"/>
      </w:pPr>
      <w:r>
        <w:rPr>
          <w:rFonts w:ascii="Times New Roman" w:cs="Times New Roman" w:eastAsia="Times New Roman" w:hAnsi="Times New Roman"/>
          <w:sz w:val="24"/>
          <w:szCs w:val="24"/>
        </w:rPr>
        <w:t xml:space="preserve">i)  To design and develop a low-cost, solar-powered, sensor-based automated borewell cover that detects presence near the opening and closes automatically to prevent accidental falls.</w:t>
      </w:r>
    </w:p>
    <w:p>
      <w:pPr>
        <w:spacing w:after="100" w:before="0" w:line="276"/>
        <w:ind w:left="540" w:hanging="540"/>
        <w:jc w:val="both"/>
      </w:pPr>
      <w:r>
        <w:rPr>
          <w:rFonts w:ascii="Times New Roman" w:cs="Times New Roman" w:eastAsia="Times New Roman" w:hAnsi="Times New Roman"/>
          <w:sz w:val="24"/>
          <w:szCs w:val="24"/>
        </w:rPr>
        <w:t xml:space="preserve">ii)  To integrate a rain-sensing, filtered rainwater-harvesting function that opens the cover safely during rainfall and channels water for groundwater recharge.</w:t>
      </w:r>
    </w:p>
    <w:p>
      <w:pPr>
        <w:spacing w:after="100" w:before="0" w:line="276"/>
        <w:ind w:left="540" w:hanging="540"/>
        <w:jc w:val="both"/>
      </w:pPr>
      <w:r>
        <w:rPr>
          <w:rFonts w:ascii="Times New Roman" w:cs="Times New Roman" w:eastAsia="Times New Roman" w:hAnsi="Times New Roman"/>
          <w:sz w:val="24"/>
          <w:szCs w:val="24"/>
        </w:rPr>
        <w:t xml:space="preserve">iii)  To provide GSM/IoT-based alerts and remote status monitoring so that designated persons are informed of intrusion, faults and battery status.</w:t>
      </w:r>
    </w:p>
    <w:p>
      <w:pPr>
        <w:spacing w:after="100" w:before="0" w:line="276"/>
        <w:ind w:left="540" w:hanging="540"/>
        <w:jc w:val="both"/>
      </w:pPr>
      <w:r>
        <w:rPr>
          <w:rFonts w:ascii="Times New Roman" w:cs="Times New Roman" w:eastAsia="Times New Roman" w:hAnsi="Times New Roman"/>
          <w:sz w:val="24"/>
          <w:szCs w:val="24"/>
        </w:rPr>
        <w:t xml:space="preserve">iv)  To install and validate 10 pilot units in rural villages near Medchal, Telangana, and to measure safety performance, reliability and recharge benefit.</w:t>
      </w:r>
    </w:p>
    <w:p>
      <w:pPr>
        <w:spacing w:after="100" w:before="0" w:line="276"/>
        <w:ind w:left="540" w:hanging="540"/>
        <w:jc w:val="both"/>
      </w:pPr>
      <w:r>
        <w:rPr>
          <w:rFonts w:ascii="Times New Roman" w:cs="Times New Roman" w:eastAsia="Times New Roman" w:hAnsi="Times New Roman"/>
          <w:sz w:val="24"/>
          <w:szCs w:val="24"/>
        </w:rPr>
        <w:t xml:space="preserve">v)  To build community awareness and capacity through workshops, school outreach, demonstration kits and open documentation on borewell safety, solar energy and groundwater conservation.</w:t>
      </w:r>
    </w:p>
    <w:p>
      <w:pPr>
        <w:keepNext/>
        <w:spacing w:after="100" w:before="200" w:line="276"/>
        <w:jc w:val="both"/>
      </w:pPr>
      <w:r>
        <w:rPr>
          <w:rFonts w:ascii="Times New Roman" w:cs="Times New Roman" w:eastAsia="Times New Roman" w:hAnsi="Times New Roman"/>
          <w:b/>
          <w:bCs/>
          <w:sz w:val="24"/>
          <w:szCs w:val="24"/>
        </w:rPr>
        <w:t xml:space="preserve">10.  Need Identification in the Proposed Area:</w:t>
      </w:r>
      <w:r>
        <w:rPr>
          <w:rFonts w:ascii="Times New Roman" w:cs="Times New Roman" w:eastAsia="Times New Roman" w:hAnsi="Times New Roman"/>
          <w:i/>
          <w:iCs/>
          <w:sz w:val="24"/>
          <w:szCs w:val="24"/>
        </w:rPr>
        <w:t xml:space="preserve"> (Please furnish background information and rationalization for the proposed project. Clearly delineate the particular issue the project aims to tackle, including its identification process and the approach to its resolution. Additionally, expound on how the project aligns with the objectives, mandate, and goals of NCSTC. Elucidate on how the project will enhance capacity building among stakeholders. If applicable, present detailed data from any conducted surveys.)</w:t>
      </w:r>
    </w:p>
    <w:p>
      <w:pPr>
        <w:spacing w:after="120" w:before="0" w:line="276"/>
        <w:jc w:val="both"/>
      </w:pPr>
      <w:r>
        <w:rPr>
          <w:rFonts w:ascii="Times New Roman" w:cs="Times New Roman" w:eastAsia="Times New Roman" w:hAnsi="Times New Roman"/>
          <w:sz w:val="24"/>
          <w:szCs w:val="24"/>
        </w:rPr>
        <w:t xml:space="preserve">Borewells are a primary source of irrigation and drinking water in rural India. When a borewell is left uncovered between uses or abandoned after it dries up, the narrow, deep shaft becomes a lethal hazard, and incidents of small children falling into open or abandoned borewells continue to be reported from several states. In response, the Supreme Court of India, in Writ Petition (Civil) No. 36 of 2009, issued binding safety guidelines through its orders dated 11 February 2010 and 6 August 2010. These include prior intimation to authorities before drilling, fencing and signboards, steel plate covers fixed with bolts, and proper filling of abandoned wells. The Central Ground Water Authority reiterated these guidelines in Public Advisory 01/2025 dated 21 January 2025, which indicates that compliance gaps persist on the ground. The Ministry of Home Affairs has also informed Parliament that specific data on falls into borewells is not separately maintained, which points to a further gap in visibility of the problem.</w:t>
      </w:r>
    </w:p>
    <w:p>
      <w:pPr>
        <w:spacing w:after="120" w:before="0" w:line="276"/>
        <w:jc w:val="both"/>
      </w:pPr>
      <w:r>
        <w:rPr>
          <w:rFonts w:ascii="Times New Roman" w:cs="Times New Roman" w:eastAsia="Times New Roman" w:hAnsi="Times New Roman"/>
          <w:sz w:val="24"/>
          <w:szCs w:val="24"/>
        </w:rPr>
        <w:t xml:space="preserve">Manual covers depend on people remembering to close them, and they are often left open during pumping intervals or are removed or tampered with. An automated cover that is always powered, responds to presence near the opening, and alerts a responsible person addresses this weakness directly. Solar power makes the system usable in fields without grid connectivity.</w:t>
      </w:r>
    </w:p>
    <w:p>
      <w:pPr>
        <w:spacing w:after="120" w:before="0" w:line="276"/>
        <w:jc w:val="both"/>
      </w:pPr>
      <w:r>
        <w:rPr>
          <w:rFonts w:ascii="Times New Roman" w:cs="Times New Roman" w:eastAsia="Times New Roman" w:hAnsi="Times New Roman"/>
          <w:sz w:val="24"/>
          <w:szCs w:val="24"/>
        </w:rPr>
        <w:t xml:space="preserve">The same structure can help conserve water. Groundwater depletion is a concern in many regions, while rainfall is frequently lost as surface runoff. By opening the cover during rain over a load-bearing safety grille and filter, the system turns the borewell opening into a small recharge point, combining safety and water conservation in a single low-cost unit.</w:t>
      </w:r>
    </w:p>
    <w:p>
      <w:pPr>
        <w:spacing w:after="120" w:before="0" w:line="276"/>
        <w:jc w:val="both"/>
      </w:pPr>
      <w:r>
        <w:rPr>
          <w:rFonts w:ascii="Times New Roman" w:cs="Times New Roman" w:eastAsia="Times New Roman" w:hAnsi="Times New Roman"/>
          <w:sz w:val="24"/>
          <w:szCs w:val="24"/>
        </w:rPr>
        <w:t xml:space="preserve">The project is aligned with the objectives and mandate of NCSTC, which promotes the application of science and technology to societal needs and the communication and popularisation of science among the public. It applies electronics, solar energy and IoT to a real community safety and water-conservation problem, and it includes communication tools and activities for the public. Capacity building is addressed on three fronts: students gain hands-on experience in embedded systems and field engineering; farmers and village volunteers are trained in safe borewell practice and basic system care; and school children are introduced to the underlying science through demonstrations.</w:t>
      </w:r>
    </w:p>
    <w:p>
      <w:pPr>
        <w:spacing w:after="120" w:before="0" w:line="276"/>
        <w:jc w:val="both"/>
      </w:pPr>
      <w:r>
        <w:rPr>
          <w:rFonts w:ascii="Times New Roman" w:cs="Times New Roman" w:eastAsia="Times New Roman" w:hAnsi="Times New Roman"/>
          <w:sz w:val="24"/>
          <w:szCs w:val="24"/>
          <w:highlight w:val="yellow"/>
          <w:highlightCs w:val="yellow"/>
        </w:rPr>
        <w:t xml:space="preserve">[Insert data from any preliminary survey or consultation already conducted. A baseline survey of borewells in the target villages is planned in Months 1–2.]</w:t>
      </w:r>
    </w:p>
    <w:p>
      <w:pPr>
        <w:keepNext/>
        <w:spacing w:after="100" w:before="200" w:line="276"/>
        <w:jc w:val="both"/>
      </w:pPr>
      <w:r>
        <w:rPr>
          <w:rFonts w:ascii="Times New Roman" w:cs="Times New Roman" w:eastAsia="Times New Roman" w:hAnsi="Times New Roman"/>
          <w:b/>
          <w:bCs/>
          <w:sz w:val="24"/>
          <w:szCs w:val="24"/>
        </w:rPr>
        <w:t xml:space="preserve">11.  Description of the target area, target group (s) along with their beneficiaries (Gen/OBC/SC/ST):</w:t>
      </w:r>
      <w:r>
        <w:rPr>
          <w:rFonts w:ascii="Times New Roman" w:cs="Times New Roman" w:eastAsia="Times New Roman" w:hAnsi="Times New Roman"/>
          <w:i/>
          <w:iCs/>
          <w:sz w:val="24"/>
          <w:szCs w:val="24"/>
        </w:rPr>
        <w:t xml:space="preserve"> (Please indicate how was the target area, audience identified, and what criteria guided their selection? What factors motivated their choice? Additionally, specify the number of consultations conducted with the target group during the project’s design phase and provide the source of this information. Please indicate no. of direct and indirect beneficiaries)</w:t>
      </w:r>
    </w:p>
    <w:p>
      <w:pPr>
        <w:spacing w:after="120" w:before="0" w:line="276"/>
        <w:jc w:val="both"/>
      </w:pPr>
      <w:r>
        <w:rPr>
          <w:rFonts w:ascii="Times New Roman" w:cs="Times New Roman" w:eastAsia="Times New Roman" w:hAnsi="Times New Roman"/>
          <w:sz w:val="24"/>
          <w:szCs w:val="24"/>
        </w:rPr>
        <w:t xml:space="preserve">The target area comprises Kandlakoya and neighbouring villages in Medchal mandal, Medchal–Malkajgiri district, Telangana. Selection criteria are: (a) presence of agricultural or domestic borewells, including unused ones; (b) proximity to the institution, which allows frequent monitoring and maintenance visits during the 12-month pilot; (c) willingness of borewell owners and the Gram Panchayat to participate; and (d) presence of children and school-going families near open borewells. </w:t>
      </w:r>
      <w:r>
        <w:rPr>
          <w:rFonts w:ascii="Times New Roman" w:cs="Times New Roman" w:eastAsia="Times New Roman" w:hAnsi="Times New Roman"/>
          <w:sz w:val="24"/>
          <w:szCs w:val="24"/>
          <w:highlight w:val="yellow"/>
          <w:highlightCs w:val="yellow"/>
        </w:rPr>
        <w:t xml:space="preserve">[Add the source of this information and the number of consultations held with the target group during the design phase.]</w:t>
      </w:r>
    </w:p>
    <w:p>
      <w:pPr>
        <w:keepNext/>
        <w:spacing w:after="120" w:before="0" w:line="276"/>
        <w:jc w:val="both"/>
      </w:pPr>
      <w:r>
        <w:rPr>
          <w:rFonts w:ascii="Times New Roman" w:cs="Times New Roman" w:eastAsia="Times New Roman" w:hAnsi="Times New Roman"/>
          <w:sz w:val="24"/>
          <w:szCs w:val="24"/>
        </w:rPr>
        <w:t xml:space="preserve">Estimated beneficiaries (to be refined after the baseline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cantSplit/>
          <w:tblHeader/>
        </w:trPr>
        <w:tc>
          <w:tcPr>
            <w:tcW w:type="dxa" w:w="42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Beneficiary group</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Direct (approx.)</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Indirect (approx.)</w:t>
            </w:r>
          </w:p>
        </w:tc>
      </w:tr>
      <w:tr>
        <w:trPr>
          <w:cantSplit/>
        </w:trPr>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Farming households at the 10 pilot borewell sites (about 5 members each)</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500</w:t>
            </w:r>
          </w:p>
        </w:tc>
      </w:tr>
      <w:tr>
        <w:trPr>
          <w:cantSplit/>
        </w:trPr>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Village community members reached through workshops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100</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1,000</w:t>
            </w:r>
          </w:p>
        </w:tc>
      </w:tr>
      <w:tr>
        <w:trPr>
          <w:cantSplit/>
        </w:trPr>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School children and teachers reached through outreach and demonstrations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150</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500</w:t>
            </w:r>
          </w:p>
        </w:tc>
      </w:tr>
      <w:tr>
        <w:trPr>
          <w:cantSplit/>
        </w:trPr>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College students trained as project volunteers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w:t>
            </w:r>
          </w:p>
        </w:tc>
      </w:tr>
      <w:tr>
        <w:trPr>
          <w:cantSplit/>
        </w:trPr>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Total</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350</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2,000</w:t>
            </w:r>
          </w:p>
        </w:tc>
      </w:tr>
    </w:tbl>
    <w:p>
      <w:pPr>
        <w:spacing w:after="120" w:before="100" w:line="276"/>
        <w:jc w:val="both"/>
      </w:pPr>
      <w:r>
        <w:rPr>
          <w:rFonts w:ascii="Times New Roman" w:cs="Times New Roman" w:eastAsia="Times New Roman" w:hAnsi="Times New Roman"/>
          <w:sz w:val="24"/>
          <w:szCs w:val="24"/>
        </w:rPr>
        <w:t xml:space="preserve">Category-wise (Gen/OBC/SC/ST) breakup: </w:t>
      </w:r>
      <w:r>
        <w:rPr>
          <w:rFonts w:ascii="Times New Roman" w:cs="Times New Roman" w:eastAsia="Times New Roman" w:hAnsi="Times New Roman"/>
          <w:sz w:val="24"/>
          <w:szCs w:val="24"/>
          <w:highlight w:val="yellow"/>
          <w:highlightCs w:val="yellow"/>
        </w:rPr>
        <w:t xml:space="preserve">[to be updated after the baseline survey]</w:t>
      </w:r>
    </w:p>
    <w:p>
      <w:pPr>
        <w:keepNext/>
        <w:spacing w:after="100" w:before="200" w:line="276"/>
        <w:jc w:val="left"/>
      </w:pPr>
      <w:r>
        <w:rPr>
          <w:rFonts w:ascii="Times New Roman" w:cs="Times New Roman" w:eastAsia="Times New Roman" w:hAnsi="Times New Roman"/>
          <w:b/>
          <w:bCs/>
          <w:sz w:val="24"/>
          <w:szCs w:val="24"/>
        </w:rPr>
        <w:t xml:space="preserve">12.  Methodology &amp; Work plan for Project Implementation</w:t>
      </w:r>
    </w:p>
    <w:p>
      <w:pPr>
        <w:spacing w:after="120" w:before="0" w:line="276"/>
        <w:jc w:val="both"/>
      </w:pPr>
      <w:r>
        <w:rPr>
          <w:rFonts w:ascii="Times New Roman" w:cs="Times New Roman" w:eastAsia="Times New Roman" w:hAnsi="Times New Roman"/>
          <w:b/>
          <w:bCs/>
          <w:sz w:val="24"/>
          <w:szCs w:val="24"/>
        </w:rPr>
        <w:t xml:space="preserve">Technical approach.</w:t>
      </w:r>
      <w:r>
        <w:rPr>
          <w:rFonts w:ascii="Times New Roman" w:cs="Times New Roman" w:eastAsia="Times New Roman" w:hAnsi="Times New Roman"/>
          <w:sz w:val="24"/>
          <w:szCs w:val="24"/>
        </w:rPr>
        <w:t xml:space="preserve"> The system has two compartments. The sensor compartment houses PIR motion sensors and an ultrasonic proximity sensor for detecting a person, animal or object near the borewell opening, along with a rain sensor. The solar-panel compartment generates power and forms the movable lid. An Arduino-based microcontroller reads the sensors and drives a stepper motor that opens and closes the lid. On confirmed presence, the lid closes and a GSM/IoT alert is sent to designated persons. On rain detection, the lid opens over a load-bearing perforated safety grille with a silt filter, so the opening remains fall-proof while rainwater is channelled to the borewell for recharge. A charge controller and battery provide operation at night and in cloudy weather.</w:t>
      </w:r>
    </w:p>
    <w:p>
      <w:pPr>
        <w:spacing w:after="120" w:before="0" w:line="276"/>
        <w:jc w:val="both"/>
      </w:pPr>
      <w:r>
        <w:rPr>
          <w:rFonts w:ascii="Times New Roman" w:cs="Times New Roman" w:eastAsia="Times New Roman" w:hAnsi="Times New Roman"/>
          <w:sz w:val="24"/>
          <w:szCs w:val="24"/>
        </w:rPr>
        <w:t xml:space="preserve">The design will include the following safeguards, to be validated during laboratory and field testing: dual-sensor confirmation (PIR plus proximity) to reduce false triggers from animals and moving vegetation; a warning buzzer and delay before closing; slow closing with motor-current and limit-switch obstruction sensing so that the lid stops and reverses if it meets an obstacle; a manual override and mechanical latch for maintenance and power failure; and a fail-safe default in which the borewell remains covered or grilled if a fault occurs.</w:t>
      </w:r>
    </w:p>
    <w:p>
      <w:pPr>
        <w:keepNext/>
        <w:spacing w:after="100" w:before="120" w:line="276"/>
        <w:jc w:val="both"/>
      </w:pPr>
      <w:r>
        <w:rPr>
          <w:rFonts w:ascii="Times New Roman" w:cs="Times New Roman" w:eastAsia="Times New Roman" w:hAnsi="Times New Roman"/>
          <w:b/>
          <w:bCs/>
          <w:sz w:val="24"/>
          <w:szCs w:val="24"/>
        </w:rPr>
        <w:t xml:space="preserve">i)  Project Implementation Timelines</w:t>
      </w:r>
      <w:r>
        <w:rPr>
          <w:rFonts w:ascii="Times New Roman" w:cs="Times New Roman" w:eastAsia="Times New Roman" w:hAnsi="Times New Roman"/>
          <w:i/>
          <w:iCs/>
          <w:sz w:val="24"/>
          <w:szCs w:val="24"/>
        </w:rPr>
        <w:t xml:space="preserve"> (Provide a detailed timeline of project activities, including start and end dates for each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1350"/>
        <w:gridCol w:w="135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Phase</w:t>
            </w:r>
          </w:p>
        </w:tc>
        <w:tc>
          <w:tcPr>
            <w:tcW w:type="dxa" w:w="48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Activities</w:t>
            </w:r>
          </w:p>
        </w:tc>
        <w:tc>
          <w:tcPr>
            <w:tcW w:type="dxa" w:w="135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Start</w:t>
            </w:r>
          </w:p>
        </w:tc>
        <w:tc>
          <w:tcPr>
            <w:tcW w:type="dxa" w:w="135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End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Phase 1</w:t>
            </w:r>
          </w:p>
        </w:tc>
        <w:tc>
          <w:tcPr>
            <w:tcW w:type="dxa" w:w="4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Site survey, baseline study of borewells, stakeholder consultation, finalisation of requirements and site selection</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1</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Phase 2</w:t>
            </w:r>
          </w:p>
        </w:tc>
        <w:tc>
          <w:tcPr>
            <w:tcW w:type="dxa" w:w="4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System design, component procurement, firmware development, mechanical lid and grille design, prototype assembly</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2</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Phase 3</w:t>
            </w:r>
          </w:p>
        </w:tc>
        <w:tc>
          <w:tcPr>
            <w:tcW w:type="dxa" w:w="4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Laboratory testing and safety validation: sensor accuracy, rain response, obstruction handling, solar and battery endurance</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4</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Phase 4</w:t>
            </w:r>
          </w:p>
        </w:tc>
        <w:tc>
          <w:tcPr>
            <w:tcW w:type="dxa" w:w="4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Fabrication of pilot units, installation at 10 sites, field monitoring and maintenance</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6</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Phase 5</w:t>
            </w:r>
          </w:p>
        </w:tc>
        <w:tc>
          <w:tcPr>
            <w:tcW w:type="dxa" w:w="4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Awareness workshops, school outreach, training of volunteers, preparation and distribution of communication material</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7</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11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Phase 6</w:t>
            </w:r>
          </w:p>
        </w:tc>
        <w:tc>
          <w:tcPr>
            <w:tcW w:type="dxa" w:w="4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End-line survey, impact assessment, design refinement, open documentation, final report and dissemination</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10</w:t>
            </w:r>
          </w:p>
        </w:tc>
        <w:tc>
          <w:tcPr>
            <w:tcW w:type="dxa" w:w="1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Month 12</w:t>
            </w:r>
          </w:p>
        </w:tc>
      </w:tr>
    </w:tbl>
    <w:p>
      <w:pPr>
        <w:spacing w:after="120" w:before="100" w:line="276"/>
        <w:jc w:val="both"/>
      </w:pPr>
      <w:r>
        <w:rPr>
          <w:rFonts w:ascii="Times New Roman" w:cs="Times New Roman" w:eastAsia="Times New Roman" w:hAnsi="Times New Roman"/>
          <w:sz w:val="24"/>
          <w:szCs w:val="24"/>
        </w:rPr>
        <w:t xml:space="preserve">Months are counted from the date of sanction of the project. </w:t>
      </w:r>
      <w:r>
        <w:rPr>
          <w:rFonts w:ascii="Times New Roman" w:cs="Times New Roman" w:eastAsia="Times New Roman" w:hAnsi="Times New Roman"/>
          <w:sz w:val="24"/>
          <w:szCs w:val="24"/>
          <w:highlight w:val="yellow"/>
          <w:highlightCs w:val="yellow"/>
        </w:rPr>
        <w:t xml:space="preserve">[Insert actual start and end dates once sanction date is known.]</w:t>
      </w:r>
    </w:p>
    <w:p>
      <w:pPr>
        <w:keepNext/>
        <w:spacing w:after="100" w:before="120" w:line="276"/>
        <w:jc w:val="both"/>
      </w:pPr>
      <w:r>
        <w:rPr>
          <w:rFonts w:ascii="Times New Roman" w:cs="Times New Roman" w:eastAsia="Times New Roman" w:hAnsi="Times New Roman"/>
          <w:b/>
          <w:bCs/>
          <w:sz w:val="24"/>
          <w:szCs w:val="24"/>
        </w:rPr>
        <w:t xml:space="preserve">ii)  Key Performance Indicators</w:t>
      </w:r>
      <w:r>
        <w:rPr>
          <w:rFonts w:ascii="Times New Roman" w:cs="Times New Roman" w:eastAsia="Times New Roman" w:hAnsi="Times New Roman"/>
          <w:i/>
          <w:iCs/>
          <w:sz w:val="24"/>
          <w:szCs w:val="24"/>
        </w:rPr>
        <w:t xml:space="preserve"> (Define the criteria for measuring the success of the project and achieving its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26"/>
        <w:gridCol w:w="2300"/>
        <w:gridCol w:w="2400"/>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S. No</w:t>
            </w:r>
          </w:p>
        </w:tc>
        <w:tc>
          <w:tcPr>
            <w:tcW w:type="dxa" w:w="38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Indicator</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Target</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Means of verification</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Functional pilot units installed and operating</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10 units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Installation records, site photographs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2</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Lid closing after presence detection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Within 5 seconds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Timed lab and field tests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3</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Lid opening after rain detection</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Within 10 seconds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Rain-simulation and field logs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4</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Alerts delivered to designated persons</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At least 95% within 60 seconds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Alert logs, recipient feedback</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5</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False-trigger rate</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Below 5% of detections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Sensor event logs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6</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Field uptime of pilot units</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At least 90%</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Monthly monitoring reports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7</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Awareness workshops held</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6 workshops, at least 250 participants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Attendance sheets, photographs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8</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Communication material produced</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500 leaflets, 3 short videos, 3 demonstration kits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Copies of material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9</w:t>
            </w:r>
          </w:p>
        </w:tc>
        <w:tc>
          <w:tcPr>
            <w:tcW w:type="dxa" w:w="38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Rainwater recharge measured at pilot sites</w:t>
            </w:r>
          </w:p>
        </w:tc>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Volume recorded for each rain event</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Flow and level measurements</w:t>
            </w:r>
          </w:p>
        </w:tc>
      </w:tr>
    </w:tbl>
    <w:p>
      <w:pPr>
        <w:spacing w:after="120" w:before="100" w:line="276"/>
        <w:jc w:val="both"/>
      </w:pPr>
      <w:r>
        <w:rPr>
          <w:rFonts w:ascii="Times New Roman" w:cs="Times New Roman" w:eastAsia="Times New Roman" w:hAnsi="Times New Roman"/>
          <w:sz w:val="24"/>
          <w:szCs w:val="24"/>
        </w:rPr>
        <w:t xml:space="preserve">Targets are proposed values and may be revised after Phase 3 testing.</w:t>
      </w:r>
    </w:p>
    <w:p>
      <w:pPr>
        <w:keepNext/>
        <w:spacing w:after="100" w:before="120" w:line="276"/>
        <w:jc w:val="both"/>
      </w:pPr>
      <w:r>
        <w:rPr>
          <w:rFonts w:ascii="Times New Roman" w:cs="Times New Roman" w:eastAsia="Times New Roman" w:hAnsi="Times New Roman"/>
          <w:b/>
          <w:bCs/>
          <w:sz w:val="24"/>
          <w:szCs w:val="24"/>
        </w:rPr>
        <w:t xml:space="preserve">iii)  Roles and Responsibility of Partners</w:t>
      </w:r>
      <w:r>
        <w:rPr>
          <w:rFonts w:ascii="Times New Roman" w:cs="Times New Roman" w:eastAsia="Times New Roman" w:hAnsi="Times New Roman"/>
          <w:i/>
          <w:iCs/>
          <w:sz w:val="24"/>
          <w:szCs w:val="24"/>
        </w:rPr>
        <w:t xml:space="preserve"> (List potential partners and collaborators, including universities, research institutions, community organizations, and industry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Partner</w:t>
            </w:r>
          </w:p>
        </w:tc>
        <w:tc>
          <w:tcPr>
            <w:tcW w:type="dxa" w:w="63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Role and responsibility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Principal Investigator (K. Raju)</w:t>
            </w:r>
          </w:p>
        </w:tc>
        <w:tc>
          <w:tcPr>
            <w:tcW w:type="dxa" w:w="63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Overall project supervision, technical and academic guidance, coordination with the institution and partners, review of progress and expenditure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Co-Investigator and student team</w:t>
            </w:r>
          </w:p>
        </w:tc>
        <w:tc>
          <w:tcPr>
            <w:tcW w:type="dxa" w:w="63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System design, firmware, fabrication, testing, field installation, data collection, workshops and documentation</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CMR College of Engineering &amp; Technology</w:t>
            </w:r>
          </w:p>
        </w:tc>
        <w:tc>
          <w:tcPr>
            <w:tcW w:type="dxa" w:w="63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Laboratory and workshop facilities, administrative and financial management, hosting of training programmes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Gram Panchayat(s) (proposed)</w:t>
            </w:r>
          </w:p>
        </w:tc>
        <w:tc>
          <w:tcPr>
            <w:tcW w:type="dxa" w:w="63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Permission for installation, identification of borewells, mobilisation of villagers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Local agriculture/groundwater officials (proposed)</w:t>
            </w:r>
          </w:p>
        </w:tc>
        <w:tc>
          <w:tcPr>
            <w:tcW w:type="dxa" w:w="63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Guidance on borewell safety norms and recharge practice; support for community awareness</w:t>
            </w:r>
          </w:p>
        </w:tc>
      </w:tr>
    </w:tbl>
    <w:p>
      <w:pPr>
        <w:keepNext/>
        <w:spacing w:after="100" w:before="240" w:line="276"/>
        <w:jc w:val="left"/>
      </w:pPr>
      <w:r>
        <w:rPr>
          <w:rFonts w:ascii="Times New Roman" w:cs="Times New Roman" w:eastAsia="Times New Roman" w:hAnsi="Times New Roman"/>
          <w:b/>
          <w:bCs/>
          <w:sz w:val="24"/>
          <w:szCs w:val="24"/>
        </w:rPr>
        <w:t xml:space="preserve">13.  Project Duration:</w:t>
      </w:r>
    </w:p>
    <w:p>
      <w:pPr>
        <w:spacing w:after="120" w:before="0" w:line="276"/>
        <w:jc w:val="both"/>
      </w:pPr>
      <w:r>
        <w:rPr>
          <w:rFonts w:ascii="Times New Roman" w:cs="Times New Roman" w:eastAsia="Times New Roman" w:hAnsi="Times New Roman"/>
          <w:sz w:val="24"/>
          <w:szCs w:val="24"/>
        </w:rPr>
        <w:t xml:space="preserve">12 months</w:t>
      </w:r>
    </w:p>
    <w:p>
      <w:pPr>
        <w:keepNext/>
        <w:spacing w:after="100" w:before="200" w:line="276"/>
        <w:jc w:val="left"/>
      </w:pPr>
      <w:r>
        <w:rPr>
          <w:rFonts w:ascii="Times New Roman" w:cs="Times New Roman" w:eastAsia="Times New Roman" w:hAnsi="Times New Roman"/>
          <w:b/>
          <w:bCs/>
          <w:sz w:val="24"/>
          <w:szCs w:val="24"/>
        </w:rPr>
        <w:t xml:space="preserve">14.  Total Cost Proposed:</w:t>
      </w:r>
    </w:p>
    <w:p>
      <w:pPr>
        <w:spacing w:after="120" w:before="0" w:line="276"/>
        <w:jc w:val="both"/>
      </w:pPr>
      <w:r>
        <w:rPr>
          <w:rFonts w:ascii="Times New Roman" w:cs="Times New Roman" w:eastAsia="Times New Roman" w:hAnsi="Times New Roman"/>
          <w:sz w:val="24"/>
          <w:szCs w:val="24"/>
        </w:rPr>
        <w:t xml:space="preserve">Rs. 5,88,000 (Rupees Five Lakh Eighty-Eight Thousand only)</w:t>
      </w:r>
    </w:p>
    <w:p>
      <w:pPr>
        <w:spacing w:after="120" w:before="0" w:line="276"/>
        <w:jc w:val="left"/>
      </w:pPr>
      <w:r>
        <w:rPr>
          <w:rFonts w:ascii="Times New Roman" w:cs="Times New Roman" w:eastAsia="Times New Roman" w:hAnsi="Times New Roman"/>
          <w:b/>
          <w:bCs/>
          <w:sz w:val="24"/>
          <w:szCs w:val="24"/>
        </w:rPr>
        <w:t xml:space="preserve">i)  Recurring Budget:</w:t>
      </w:r>
      <w:r>
        <w:rPr>
          <w:rFonts w:ascii="Times New Roman" w:cs="Times New Roman" w:eastAsia="Times New Roman" w:hAnsi="Times New Roman"/>
          <w:sz w:val="24"/>
          <w:szCs w:val="24"/>
        </w:rPr>
        <w:t xml:space="preserve"> Rs. 3,84,000 (including contingency of Rs. 28,000)</w:t>
      </w:r>
    </w:p>
    <w:p>
      <w:pPr>
        <w:spacing w:after="120" w:before="0" w:line="276"/>
        <w:jc w:val="left"/>
      </w:pPr>
      <w:r>
        <w:rPr>
          <w:rFonts w:ascii="Times New Roman" w:cs="Times New Roman" w:eastAsia="Times New Roman" w:hAnsi="Times New Roman"/>
          <w:b/>
          <w:bCs/>
          <w:sz w:val="24"/>
          <w:szCs w:val="24"/>
        </w:rPr>
        <w:t xml:space="preserve">ii)  Non-recurring Budget:</w:t>
      </w:r>
      <w:r>
        <w:rPr>
          <w:rFonts w:ascii="Times New Roman" w:cs="Times New Roman" w:eastAsia="Times New Roman" w:hAnsi="Times New Roman"/>
          <w:sz w:val="24"/>
          <w:szCs w:val="24"/>
        </w:rPr>
        <w:t xml:space="preserve"> Rs. 2,04,000</w:t>
      </w:r>
    </w:p>
    <w:p>
      <w:pPr>
        <w:spacing w:after="120" w:before="0" w:line="276"/>
        <w:jc w:val="both"/>
      </w:pPr>
      <w:r>
        <w:rPr>
          <w:rFonts w:ascii="Times New Roman" w:cs="Times New Roman" w:eastAsia="Times New Roman" w:hAnsi="Times New Roman"/>
          <w:b/>
          <w:bCs/>
          <w:sz w:val="24"/>
          <w:szCs w:val="24"/>
        </w:rPr>
        <w:t xml:space="preserve">iii)  Details of budget/resources from other sources (if any):</w:t>
      </w:r>
      <w:r>
        <w:rPr>
          <w:rFonts w:ascii="Times New Roman" w:cs="Times New Roman" w:eastAsia="Times New Roman" w:hAnsi="Times New Roman"/>
          <w:sz w:val="24"/>
          <w:szCs w:val="24"/>
        </w:rPr>
        <w:t xml:space="preserve"> No cash contribution from other sources is currently proposed. The institution will provide laboratory space, faculty time and facilities in kind (see item 20). </w:t>
      </w:r>
      <w:r>
        <w:rPr>
          <w:rFonts w:ascii="Times New Roman" w:cs="Times New Roman" w:eastAsia="Times New Roman" w:hAnsi="Times New Roman"/>
          <w:sz w:val="24"/>
          <w:szCs w:val="24"/>
          <w:highlight w:val="yellow"/>
          <w:highlightCs w:val="yellow"/>
        </w:rPr>
        <w:t xml:space="preserve">[Update if any other funding is available]</w:t>
      </w:r>
    </w:p>
    <w:p>
      <w:pPr>
        <w:keepNext/>
        <w:spacing w:after="100" w:before="200" w:line="276"/>
        <w:jc w:val="both"/>
      </w:pPr>
      <w:r>
        <w:rPr>
          <w:rFonts w:ascii="Times New Roman" w:cs="Times New Roman" w:eastAsia="Times New Roman" w:hAnsi="Times New Roman"/>
          <w:b/>
          <w:bCs/>
          <w:sz w:val="24"/>
          <w:szCs w:val="24"/>
        </w:rPr>
        <w:t xml:space="preserve">15.  Detailed Budget Break-up:</w:t>
      </w:r>
      <w:r>
        <w:rPr>
          <w:rFonts w:ascii="Times New Roman" w:cs="Times New Roman" w:eastAsia="Times New Roman" w:hAnsi="Times New Roman"/>
          <w:i/>
          <w:iCs/>
          <w:sz w:val="24"/>
          <w:szCs w:val="24"/>
        </w:rPr>
        <w:t xml:space="preserve"> (Provide justification for each budget item, detailing how the costs were determined, including unit costs and consolidated estimates. Additionally, furnish a concise summary of the budget outlay on a single sheet.)</w:t>
      </w:r>
    </w:p>
    <w:p>
      <w:pPr>
        <w:keepNext/>
        <w:spacing w:after="120" w:before="0" w:line="276"/>
        <w:jc w:val="both"/>
      </w:pPr>
      <w:r>
        <w:rPr>
          <w:rFonts w:ascii="Times New Roman" w:cs="Times New Roman" w:eastAsia="Times New Roman" w:hAnsi="Times New Roman"/>
          <w:sz w:val="24"/>
          <w:szCs w:val="24"/>
        </w:rPr>
        <w:t xml:space="preserve">Costs are indicative estimates based on typical market prices for the listed components and should be verified against current quotations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000"/>
        <w:gridCol w:w="1100"/>
        <w:gridCol w:w="1000"/>
        <w:gridCol w:w="1226"/>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S. No</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Item</w:t>
            </w:r>
          </w:p>
        </w:tc>
        <w:tc>
          <w:tcPr>
            <w:tcW w:type="dxa" w:w="3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Justification / basis of cost</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Unit cost (Rs.)</w:t>
            </w:r>
          </w:p>
        </w:tc>
        <w:tc>
          <w:tcPr>
            <w:tcW w:type="dxa" w:w="1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Qty / Months</w:t>
            </w:r>
          </w:p>
        </w:tc>
        <w:tc>
          <w:tcPr>
            <w:tcW w:type="dxa" w:w="12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Amount (Rs.)</w:t>
            </w:r>
          </w:p>
        </w:tc>
      </w:tr>
      <w:tr>
        <w:trPr>
          <w:cantSplit/>
        </w:trPr>
        <w:tc>
          <w:tcPr>
            <w:tcW w:type="dxa" w:w="9026"/>
            <w:gridSpan w:val="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A. Non-recurring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Pilot units (10 nos.)</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Fabrication and assembly of pilot units as per Annexure A (Rs. 13,800 per unit)</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13,800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10</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1,38,000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2</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Test bench and tools</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Soldering station, multimeter, rain-simulation rig, load and solar testing set-up</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45,000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45,000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3</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Demonstration and training kits</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Working mini-models for workshops and school outreach</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7,000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3</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21,000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Sub-total A</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2,04,000</w:t>
            </w:r>
          </w:p>
        </w:tc>
      </w:tr>
      <w:tr>
        <w:trPr>
          <w:cantSplit/>
        </w:trPr>
        <w:tc>
          <w:tcPr>
            <w:tcW w:type="dxa" w:w="9026"/>
            <w:gridSpan w:val="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B. Recurring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Project assistant (stipend)</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One project assistant for 12 months at Rs. 15,000 per month</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15,000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12</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1,80,000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2</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Consumables and spares</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Sensors, batteries, cables, replacement parts for testing and pilot maintenance</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40,000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40,000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3</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GSM/IoT connectivity</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SIM and data plans for 10 units (Rs. 100 per unit per month) plus dashboard/cloud charges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18,000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18,000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4</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Travel and field visits</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Site survey, installation, monthly monitoring visits to pilot villages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5</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Workshops and science-communication material</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Six awareness workshops (Rs. 8,000 each): printing, posters, leaflets, videos, refreshments</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8,000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6</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48,000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6</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Survey, impact assessment and reporting</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Baseline and end-line surveys, data analysis, documentation, final report</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20,000</w:t>
            </w: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sz w:val="24"/>
                <w:szCs w:val="24"/>
              </w:rPr>
              <w:t xml:space="preserve">1</w:t>
            </w: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20,000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7</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Contingency</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5% of A plus B items above</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28,000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Sub-total B</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3,84,000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Grand Total (A + B)</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5,88,000</w:t>
            </w:r>
          </w:p>
        </w:tc>
      </w:tr>
    </w:tbl>
    <w:p>
      <w:pPr>
        <w:keepNext/>
        <w:spacing w:after="120" w:before="160" w:line="276"/>
        <w:jc w:val="left"/>
      </w:pPr>
      <w:r>
        <w:rPr>
          <w:rFonts w:ascii="Times New Roman" w:cs="Times New Roman" w:eastAsia="Times New Roman" w:hAnsi="Times New Roman"/>
          <w:b/>
          <w:bCs/>
          <w:sz w:val="24"/>
          <w:szCs w:val="24"/>
        </w:rPr>
        <w:t xml:space="preserve">Summary of budget outlay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Head</w:t>
            </w:r>
          </w:p>
        </w:tc>
        <w:tc>
          <w:tcPr>
            <w:tcW w:type="dxa" w:w="3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Amount (Rs.)</w:t>
            </w:r>
          </w:p>
        </w:tc>
      </w:tr>
      <w:tr>
        <w:trPr>
          <w:cantSplit/>
        </w:trPr>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 Non-recurring</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2,04,000</w:t>
            </w:r>
          </w:p>
        </w:tc>
      </w:tr>
      <w:tr>
        <w:trPr>
          <w:cantSplit/>
        </w:trPr>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B. Recurring (including 5% contingency)</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3,84,000</w:t>
            </w:r>
          </w:p>
        </w:tc>
      </w:tr>
      <w:tr>
        <w:trPr>
          <w:cantSplit/>
        </w:trPr>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Total cost proposed (A + B)</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5,88,000</w:t>
            </w:r>
          </w:p>
        </w:tc>
      </w:tr>
    </w:tbl>
    <w:p>
      <w:pPr>
        <w:keepNext/>
        <w:spacing w:after="100" w:before="240" w:line="276"/>
        <w:jc w:val="left"/>
      </w:pPr>
      <w:r>
        <w:rPr>
          <w:rFonts w:ascii="Times New Roman" w:cs="Times New Roman" w:eastAsia="Times New Roman" w:hAnsi="Times New Roman"/>
          <w:b/>
          <w:bCs/>
          <w:sz w:val="24"/>
          <w:szCs w:val="24"/>
        </w:rPr>
        <w:t xml:space="preserve">16.  Prior experience along with activities in the area of public/community engagement, science communication, popularization and developing communication tools or modules.</w:t>
      </w:r>
    </w:p>
    <w:p>
      <w:pPr>
        <w:keepNext/>
        <w:spacing w:after="120" w:before="0" w:line="276"/>
        <w:jc w:val="left"/>
      </w:pPr>
      <w:r>
        <w:rPr>
          <w:rFonts w:ascii="Times New Roman" w:cs="Times New Roman" w:eastAsia="Times New Roman" w:hAnsi="Times New Roman"/>
          <w:b/>
          <w:bCs/>
          <w:sz w:val="24"/>
          <w:szCs w:val="24"/>
        </w:rPr>
        <w:t xml:space="preserve">i)  list of on-going &amp; completed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1900"/>
        <w:gridCol w:w="2226"/>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S. No</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Title of the Project</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Implementation Area (village/district &amp; state)</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Funding Agency</w:t>
            </w:r>
          </w:p>
        </w:tc>
        <w:tc>
          <w:tcPr>
            <w:tcW w:type="dxa" w:w="22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Duration of Support / Ongoing/Completed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c>
          <w:tcPr>
            <w:tcW w:type="dxa" w:w="2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c>
          <w:tcPr>
            <w:tcW w:type="dxa" w:w="22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[Fill]</w:t>
            </w:r>
          </w:p>
        </w:tc>
      </w:tr>
    </w:tbl>
    <w:p>
      <w:pPr>
        <w:spacing w:after="120" w:before="100" w:line="276"/>
        <w:jc w:val="both"/>
      </w:pPr>
      <w:r>
        <w:rPr>
          <w:rFonts w:ascii="Times New Roman" w:cs="Times New Roman" w:eastAsia="Times New Roman" w:hAnsi="Times New Roman"/>
          <w:sz w:val="24"/>
          <w:szCs w:val="24"/>
          <w:highlight w:val="yellow"/>
          <w:highlightCs w:val="yellow"/>
        </w:rPr>
        <w:t xml:space="preserve">[To be completed by the PI/institution. If there is no prior funded project, write “Nil” and briefly describe relevant community engagement or science-communication activities.]</w:t>
      </w:r>
    </w:p>
    <w:p>
      <w:pPr>
        <w:keepNext/>
        <w:spacing w:after="100" w:before="160" w:line="276"/>
        <w:jc w:val="left"/>
      </w:pPr>
      <w:r>
        <w:rPr>
          <w:rFonts w:ascii="Times New Roman" w:cs="Times New Roman" w:eastAsia="Times New Roman" w:hAnsi="Times New Roman"/>
          <w:b/>
          <w:bCs/>
          <w:sz w:val="24"/>
          <w:szCs w:val="24"/>
        </w:rPr>
        <w:t xml:space="preserve">ii)  Mechanism of project monitoring, evaluation, lesson learning and beneficiary feedback from previous projects (recent five projects of similar nature)</w:t>
      </w:r>
    </w:p>
    <w:p>
      <w:pPr>
        <w:spacing w:after="120" w:before="0" w:line="276"/>
        <w:jc w:val="both"/>
      </w:pPr>
      <w:r>
        <w:rPr>
          <w:rFonts w:ascii="Times New Roman" w:cs="Times New Roman" w:eastAsia="Times New Roman" w:hAnsi="Times New Roman"/>
          <w:sz w:val="24"/>
          <w:szCs w:val="24"/>
          <w:highlight w:val="yellow"/>
          <w:highlightCs w:val="yellow"/>
        </w:rPr>
        <w:t xml:space="preserve">[To be completed by the PI/institution, covering the recent five projects of similar nature. If not applicable, state the mechanism that will be followed for this project, as described under item 18.]</w:t>
      </w:r>
    </w:p>
    <w:p>
      <w:pPr>
        <w:keepNext/>
        <w:spacing w:after="100" w:before="200" w:line="276"/>
        <w:jc w:val="both"/>
      </w:pPr>
      <w:r>
        <w:rPr>
          <w:rFonts w:ascii="Times New Roman" w:cs="Times New Roman" w:eastAsia="Times New Roman" w:hAnsi="Times New Roman"/>
          <w:b/>
          <w:bCs/>
          <w:sz w:val="24"/>
          <w:szCs w:val="24"/>
        </w:rPr>
        <w:t xml:space="preserve">17.  Deliverables, desired benefits to target groups/expected outcomes and its utilization</w:t>
      </w:r>
      <w:r>
        <w:rPr>
          <w:rFonts w:ascii="Times New Roman" w:cs="Times New Roman" w:eastAsia="Times New Roman" w:hAnsi="Times New Roman"/>
          <w:i/>
          <w:iCs/>
          <w:sz w:val="24"/>
          <w:szCs w:val="24"/>
        </w:rPr>
        <w:t xml:space="preserve"> (Please specify other involved agencies, including government bodies, in the project’s operational areas, and detail collaboration strategies. Describe how the project will bridge existing gaps, align with complementary initiatives, and prevent redundancy. Discuss the sustainability prospects post-funding and outline strategies for ensuring continued service provision beyond the project’s duration. If applicable, delineate how the project’s timeframe supports its objectives and fosters sustainability, emphasizing empowerment strategies and beneficiaries.)</w:t>
      </w:r>
    </w:p>
    <w:p>
      <w:pPr>
        <w:spacing w:after="60" w:before="0" w:line="276"/>
        <w:jc w:val="left"/>
      </w:pPr>
      <w:r>
        <w:rPr>
          <w:rFonts w:ascii="Times New Roman" w:cs="Times New Roman" w:eastAsia="Times New Roman" w:hAnsi="Times New Roman"/>
          <w:b/>
          <w:bCs/>
          <w:sz w:val="24"/>
          <w:szCs w:val="24"/>
        </w:rPr>
        <w:t xml:space="preserve">Deliverables:</w:t>
      </w:r>
    </w:p>
    <w:p>
      <w:pPr>
        <w:spacing w:after="80" w:before="0" w:line="276"/>
        <w:ind w:left="540" w:hanging="270"/>
        <w:jc w:val="both"/>
      </w:pPr>
      <w:r>
        <w:rPr>
          <w:rFonts w:ascii="Times New Roman" w:cs="Times New Roman" w:eastAsia="Times New Roman" w:hAnsi="Times New Roman"/>
          <w:sz w:val="24"/>
          <w:szCs w:val="24"/>
        </w:rPr>
        <w:t xml:space="preserve">•  10 field-tested solar-powered automated borewell safety and rainwater-harvesting units installed at pilot sites.</w:t>
      </w:r>
    </w:p>
    <w:p>
      <w:pPr>
        <w:spacing w:after="80" w:before="0" w:line="276"/>
        <w:ind w:left="540" w:hanging="270"/>
        <w:jc w:val="both"/>
      </w:pPr>
      <w:r>
        <w:rPr>
          <w:rFonts w:ascii="Times New Roman" w:cs="Times New Roman" w:eastAsia="Times New Roman" w:hAnsi="Times New Roman"/>
          <w:sz w:val="24"/>
          <w:szCs w:val="24"/>
        </w:rPr>
        <w:t xml:space="preserve">•  A complete design package: circuit diagrams, firmware, mechanical drawings, bill of materials and an installation and maintenance guide, released openly for replication.</w:t>
      </w:r>
    </w:p>
    <w:p>
      <w:pPr>
        <w:spacing w:after="80" w:before="0" w:line="276"/>
        <w:ind w:left="540" w:hanging="270"/>
        <w:jc w:val="both"/>
      </w:pPr>
      <w:r>
        <w:rPr>
          <w:rFonts w:ascii="Times New Roman" w:cs="Times New Roman" w:eastAsia="Times New Roman" w:hAnsi="Times New Roman"/>
          <w:sz w:val="24"/>
          <w:szCs w:val="24"/>
        </w:rPr>
        <w:t xml:space="preserve">•  Six awareness workshops, school outreach sessions, three demonstration kits, 500 leaflets and three short videos in Telugu and English.</w:t>
      </w:r>
    </w:p>
    <w:p>
      <w:pPr>
        <w:spacing w:after="80" w:before="0" w:line="276"/>
        <w:ind w:left="540" w:hanging="270"/>
        <w:jc w:val="both"/>
      </w:pPr>
      <w:r>
        <w:rPr>
          <w:rFonts w:ascii="Times New Roman" w:cs="Times New Roman" w:eastAsia="Times New Roman" w:hAnsi="Times New Roman"/>
          <w:sz w:val="24"/>
          <w:szCs w:val="24"/>
        </w:rPr>
        <w:t xml:space="preserve">•  A baseline and end-line survey report and a final impact assessment report.</w:t>
      </w:r>
    </w:p>
    <w:p>
      <w:pPr>
        <w:spacing w:after="120" w:before="80" w:line="276"/>
        <w:jc w:val="both"/>
      </w:pPr>
      <w:r>
        <w:rPr>
          <w:rFonts w:ascii="Times New Roman" w:cs="Times New Roman" w:eastAsia="Times New Roman" w:hAnsi="Times New Roman"/>
          <w:b/>
          <w:bCs/>
          <w:sz w:val="24"/>
          <w:szCs w:val="24"/>
        </w:rPr>
        <w:t xml:space="preserve">Benefits to target groups:</w:t>
      </w:r>
      <w:r>
        <w:rPr>
          <w:rFonts w:ascii="Times New Roman" w:cs="Times New Roman" w:eastAsia="Times New Roman" w:hAnsi="Times New Roman"/>
          <w:sz w:val="24"/>
          <w:szCs w:val="24"/>
        </w:rPr>
        <w:t xml:space="preserve"> Reduced risk of accidental falls into open borewells for children and animals; timely alerts to owners and authorities; additional rainwater recharge to borewells; reduced dependence on grid power; and improved awareness of borewell safety, solar energy and water conservation.</w:t>
      </w:r>
    </w:p>
    <w:p>
      <w:pPr>
        <w:spacing w:after="120" w:before="0" w:line="276"/>
        <w:jc w:val="both"/>
      </w:pPr>
      <w:r>
        <w:rPr>
          <w:rFonts w:ascii="Times New Roman" w:cs="Times New Roman" w:eastAsia="Times New Roman" w:hAnsi="Times New Roman"/>
          <w:b/>
          <w:bCs/>
          <w:sz w:val="24"/>
          <w:szCs w:val="24"/>
        </w:rPr>
        <w:t xml:space="preserve">Other agencies and collaboration:</w:t>
      </w:r>
      <w:r>
        <w:rPr>
          <w:rFonts w:ascii="Times New Roman" w:cs="Times New Roman" w:eastAsia="Times New Roman" w:hAnsi="Times New Roman"/>
          <w:sz w:val="24"/>
          <w:szCs w:val="24"/>
        </w:rPr>
        <w:t xml:space="preserve"> The project will work with the Gram Panchayat and local agriculture and groundwater officials, and will support their existing efforts to implement the Supreme Court guidelines rather than duplicate them. The system is meant to complement fencing, covers and filling of abandoned wells by adding automation, alerts and recharge. </w:t>
      </w:r>
      <w:r>
        <w:rPr>
          <w:rFonts w:ascii="Times New Roman" w:cs="Times New Roman" w:eastAsia="Times New Roman" w:hAnsi="Times New Roman"/>
          <w:sz w:val="24"/>
          <w:szCs w:val="24"/>
          <w:highlight w:val="yellow"/>
          <w:highlightCs w:val="yellow"/>
        </w:rPr>
        <w:t xml:space="preserve">[Add names of other agencies working in the area, if known.]</w:t>
      </w:r>
    </w:p>
    <w:p>
      <w:pPr>
        <w:spacing w:after="120" w:before="0" w:line="276"/>
        <w:jc w:val="both"/>
      </w:pPr>
      <w:r>
        <w:rPr>
          <w:rFonts w:ascii="Times New Roman" w:cs="Times New Roman" w:eastAsia="Times New Roman" w:hAnsi="Times New Roman"/>
          <w:b/>
          <w:bCs/>
          <w:sz w:val="24"/>
          <w:szCs w:val="24"/>
        </w:rPr>
        <w:t xml:space="preserve">Sustainability:</w:t>
      </w:r>
      <w:r>
        <w:rPr>
          <w:rFonts w:ascii="Times New Roman" w:cs="Times New Roman" w:eastAsia="Times New Roman" w:hAnsi="Times New Roman"/>
          <w:sz w:val="24"/>
          <w:szCs w:val="24"/>
        </w:rPr>
        <w:t xml:space="preserve"> The design uses low-cost, locally available components and is documented openly so that local fabricators and institutions can replicate it. Village volunteers and students will be trained in basic maintenance, and pilot units will be handed over to the borewell owners with a maintenance guide. The institution will continue technical support after the funding period through student projects and outreach.</w:t>
      </w:r>
    </w:p>
    <w:p>
      <w:pPr>
        <w:keepNext/>
        <w:spacing w:after="100" w:before="200" w:line="276"/>
        <w:jc w:val="both"/>
      </w:pPr>
      <w:r>
        <w:rPr>
          <w:rFonts w:ascii="Times New Roman" w:cs="Times New Roman" w:eastAsia="Times New Roman" w:hAnsi="Times New Roman"/>
          <w:b/>
          <w:bCs/>
          <w:sz w:val="24"/>
          <w:szCs w:val="24"/>
        </w:rPr>
        <w:t xml:space="preserve">18.  Mechanism of impact assessment:</w:t>
      </w:r>
      <w:r>
        <w:rPr>
          <w:rFonts w:ascii="Times New Roman" w:cs="Times New Roman" w:eastAsia="Times New Roman" w:hAnsi="Times New Roman"/>
          <w:i/>
          <w:iCs/>
          <w:sz w:val="24"/>
          <w:szCs w:val="24"/>
        </w:rPr>
        <w:t xml:space="preserve"> (Please provide methodology of impact assessment in-line with defined objectives. Indicate measurable indicators, supported by baseline data and track changes over time. Provide a monitoring plan that guides the collection of data, evaluation framework outlines criteria for success, and Data analysis techniques to interpret findings.)</w:t>
      </w:r>
    </w:p>
    <w:p>
      <w:pPr>
        <w:spacing w:after="120" w:before="0" w:line="276"/>
        <w:jc w:val="both"/>
      </w:pPr>
      <w:r>
        <w:rPr>
          <w:rFonts w:ascii="Times New Roman" w:cs="Times New Roman" w:eastAsia="Times New Roman" w:hAnsi="Times New Roman"/>
          <w:b/>
          <w:bCs/>
          <w:sz w:val="24"/>
          <w:szCs w:val="24"/>
        </w:rPr>
        <w:t xml:space="preserve">Baseline and indicators.</w:t>
      </w:r>
      <w:r>
        <w:rPr>
          <w:rFonts w:ascii="Times New Roman" w:cs="Times New Roman" w:eastAsia="Times New Roman" w:hAnsi="Times New Roman"/>
          <w:sz w:val="24"/>
          <w:szCs w:val="24"/>
        </w:rPr>
        <w:t xml:space="preserve"> A baseline survey in Months 1–2 will record the number and condition of borewells (open, covered, abandoned), existing safety practices, and awareness levels among households, farmers, teachers and school children. Knowledge, safety awareness, risk perception and understanding of sustainable water-management practices will be assessed with a short questionnaire at baseline and again at end-line, and current recharge practice will be recorded. Indicators will follow the objectives: number of borewells secured; response and reliability metrics of the units (see item 12, ii); awareness scores before and after workshops; and measured rainwater volumes recharged.</w:t>
      </w:r>
    </w:p>
    <w:p>
      <w:pPr>
        <w:spacing w:after="120" w:before="0" w:line="276"/>
        <w:jc w:val="both"/>
      </w:pPr>
      <w:r>
        <w:rPr>
          <w:rFonts w:ascii="Times New Roman" w:cs="Times New Roman" w:eastAsia="Times New Roman" w:hAnsi="Times New Roman"/>
          <w:b/>
          <w:bCs/>
          <w:sz w:val="24"/>
          <w:szCs w:val="24"/>
        </w:rPr>
        <w:t xml:space="preserve">Monitoring plan.</w:t>
      </w:r>
      <w:r>
        <w:rPr>
          <w:rFonts w:ascii="Times New Roman" w:cs="Times New Roman" w:eastAsia="Times New Roman" w:hAnsi="Times New Roman"/>
          <w:sz w:val="24"/>
          <w:szCs w:val="24"/>
        </w:rPr>
        <w:t xml:space="preserve"> Each unit will log detections, lid operations, alerts, rain events and battery status. The team will visit each pilot site monthly to download logs, inspect hardware and collect owner feedback. A short progress review with the PI will be held every month.</w:t>
      </w:r>
    </w:p>
    <w:p>
      <w:pPr>
        <w:spacing w:after="120" w:before="0" w:line="276"/>
        <w:jc w:val="both"/>
      </w:pPr>
      <w:r>
        <w:rPr>
          <w:rFonts w:ascii="Times New Roman" w:cs="Times New Roman" w:eastAsia="Times New Roman" w:hAnsi="Times New Roman"/>
          <w:b/>
          <w:bCs/>
          <w:sz w:val="24"/>
          <w:szCs w:val="24"/>
        </w:rPr>
        <w:t xml:space="preserve">Evaluation framework.</w:t>
      </w:r>
      <w:r>
        <w:rPr>
          <w:rFonts w:ascii="Times New Roman" w:cs="Times New Roman" w:eastAsia="Times New Roman" w:hAnsi="Times New Roman"/>
          <w:sz w:val="24"/>
          <w:szCs w:val="24"/>
        </w:rPr>
        <w:t xml:space="preserve"> Success will be judged against the KPI targets, the reduction in unsecured borewell openings at the pilot sites, improvement in awareness scores, and satisfaction of the borewell owners.</w:t>
      </w:r>
    </w:p>
    <w:p>
      <w:pPr>
        <w:spacing w:after="120" w:before="0" w:line="276"/>
        <w:jc w:val="both"/>
      </w:pPr>
      <w:r>
        <w:rPr>
          <w:rFonts w:ascii="Times New Roman" w:cs="Times New Roman" w:eastAsia="Times New Roman" w:hAnsi="Times New Roman"/>
          <w:b/>
          <w:bCs/>
          <w:sz w:val="24"/>
          <w:szCs w:val="24"/>
        </w:rPr>
        <w:t xml:space="preserve">Data analysis.</w:t>
      </w:r>
      <w:r>
        <w:rPr>
          <w:rFonts w:ascii="Times New Roman" w:cs="Times New Roman" w:eastAsia="Times New Roman" w:hAnsi="Times New Roman"/>
          <w:sz w:val="24"/>
          <w:szCs w:val="24"/>
        </w:rPr>
        <w:t xml:space="preserve"> Pre- and post-intervention survey results will be compared using descriptive statistics, and sensor logs will be analysed for response times, false-trigger rate, uptime and recharge volumes. Findings will be reported in the final impact assessment report.</w:t>
      </w:r>
    </w:p>
    <w:p>
      <w:pPr>
        <w:keepNext/>
        <w:spacing w:after="100" w:before="200" w:line="276"/>
        <w:jc w:val="left"/>
      </w:pPr>
      <w:r>
        <w:rPr>
          <w:rFonts w:ascii="Times New Roman" w:cs="Times New Roman" w:eastAsia="Times New Roman" w:hAnsi="Times New Roman"/>
          <w:b/>
          <w:bCs/>
          <w:sz w:val="24"/>
          <w:szCs w:val="24"/>
        </w:rPr>
        <w:t xml:space="preserve">19.  Infrastructure and resources already available with the organization to accomplish the project activities:</w:t>
      </w:r>
    </w:p>
    <w:p>
      <w:pPr>
        <w:spacing w:after="120" w:before="0" w:line="276"/>
        <w:jc w:val="both"/>
      </w:pPr>
      <w:r>
        <w:rPr>
          <w:rFonts w:ascii="Times New Roman" w:cs="Times New Roman" w:eastAsia="Times New Roman" w:hAnsi="Times New Roman"/>
          <w:sz w:val="24"/>
          <w:szCs w:val="24"/>
        </w:rPr>
        <w:t xml:space="preserve">CMR College of Engineering &amp; Technology will provide laboratory space, workshop and computing facilities, faculty mentoring and administrative support for the project. </w:t>
      </w:r>
      <w:r>
        <w:rPr>
          <w:rFonts w:ascii="Times New Roman" w:cs="Times New Roman" w:eastAsia="Times New Roman" w:hAnsi="Times New Roman"/>
          <w:sz w:val="24"/>
          <w:szCs w:val="24"/>
          <w:highlight w:val="yellow"/>
          <w:highlightCs w:val="yellow"/>
        </w:rPr>
        <w:t xml:space="preserve">[PI to list the specific laboratories and equipment available, for example the electronics/embedded systems laboratory, fabrication facilities and testing instruments.]</w:t>
      </w:r>
    </w:p>
    <w:p>
      <w:pPr>
        <w:keepNext/>
        <w:spacing w:after="100" w:before="200" w:line="276"/>
        <w:jc w:val="left"/>
      </w:pPr>
      <w:r>
        <w:rPr>
          <w:rFonts w:ascii="Times New Roman" w:cs="Times New Roman" w:eastAsia="Times New Roman" w:hAnsi="Times New Roman"/>
          <w:b/>
          <w:bCs/>
          <w:sz w:val="24"/>
          <w:szCs w:val="24"/>
        </w:rPr>
        <w:t xml:space="preserve">20.  Account of self-generated resources BOTH IN CASH AND KIND, such as cash collected, use of equipment on the loan, manpower, free publicity etc. Mode of utilization and accounting of these resources for implementing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126"/>
        <w:gridCol w:w="2900"/>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Resource</w:t>
            </w:r>
          </w:p>
        </w:tc>
        <w:tc>
          <w:tcPr>
            <w:tcW w:type="dxa" w:w="31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Nature (cash/kind)</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Mode of utilisation and accounting</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Laboratory and workshop facilities</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 kind</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Used for design, assembly and testing; recorded in the project log</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Faculty mentoring time</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 kind</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Project supervision and review; recorded in monthly progress reports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Student volunteer effort</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 kind</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Fabrication, surveys and workshops; recorded in the volunteer register</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Institutional publicity</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 kind</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Promotion of workshops through the institution’s channels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Cash</w:t>
            </w:r>
          </w:p>
        </w:tc>
        <w:tc>
          <w:tcPr>
            <w:tcW w:type="dxa" w:w="31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Cash</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highlight w:val="yellow"/>
                <w:highlightCs w:val="yellow"/>
              </w:rPr>
              <w:t xml:space="preserve">[Nil / amount]</w:t>
            </w:r>
          </w:p>
        </w:tc>
      </w:tr>
    </w:tbl>
    <w:p>
      <w:pPr>
        <w:spacing w:after="300" w:before="0" w:line="276"/>
        <w:jc w:val="both"/>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none" w:color="FFFFFF" w:sz="0"/>
              <w:left w:val="none" w:color="FFFFFF" w:sz="0"/>
              <w:bottom w:val="none" w:color="FFFFFF" w:sz="0"/>
              <w:right w:val="none" w:color="FFFFFF" w:sz="0"/>
            </w:tcBorders>
          </w:tcPr>
          <w:p>
            <w:pPr>
              <w:spacing w:after="400"/>
            </w:pPr>
            <w:r>
              <w:rPr>
                <w:rFonts w:ascii="Times New Roman" w:cs="Times New Roman" w:eastAsia="Times New Roman" w:hAnsi="Times New Roman"/>
                <w:sz w:val="24"/>
                <w:szCs w:val="24"/>
              </w:rPr>
              <w:t xml:space="preserve"> </w:t>
            </w:r>
          </w:p>
          <w:p>
            <w:pPr>
              <w:spacing w:after="40"/>
              <w:jc w:val="center"/>
            </w:pPr>
            <w:r>
              <w:rPr>
                <w:rFonts w:ascii="Times New Roman" w:cs="Times New Roman" w:eastAsia="Times New Roman" w:hAnsi="Times New Roman"/>
                <w:b/>
                <w:bCs/>
                <w:sz w:val="24"/>
                <w:szCs w:val="24"/>
              </w:rPr>
              <w:t xml:space="preserve">Principal Investigator</w:t>
            </w:r>
          </w:p>
          <w:p>
            <w:pPr>
              <w:spacing w:after="40"/>
              <w:jc w:val="center"/>
            </w:pPr>
            <w:r>
              <w:rPr>
                <w:rFonts w:ascii="Times New Roman" w:cs="Times New Roman" w:eastAsia="Times New Roman" w:hAnsi="Times New Roman"/>
                <w:sz w:val="24"/>
                <w:szCs w:val="24"/>
              </w:rPr>
              <w:t xml:space="preserve">K. Raju</w:t>
            </w:r>
          </w:p>
          <w:p>
            <w:pPr>
              <w:jc w:val="center"/>
            </w:pPr>
            <w:r>
              <w:rPr>
                <w:rFonts w:ascii="Times New Roman" w:cs="Times New Roman" w:eastAsia="Times New Roman" w:hAnsi="Times New Roman"/>
                <w:sz w:val="24"/>
                <w:szCs w:val="24"/>
              </w:rPr>
              <w:t xml:space="preserve">Date and place: </w:t>
            </w:r>
            <w:r>
              <w:rPr>
                <w:rFonts w:ascii="Times New Roman" w:cs="Times New Roman" w:eastAsia="Times New Roman" w:hAnsi="Times New Roman"/>
                <w:sz w:val="24"/>
                <w:szCs w:val="24"/>
                <w:highlight w:val="yellow"/>
                <w:highlightCs w:val="yellow"/>
              </w:rPr>
              <w:t xml:space="preserve">[   ]</w:t>
            </w:r>
          </w:p>
        </w:tc>
        <w:tc>
          <w:tcPr>
            <w:tcW w:type="dxa" w:w="3009"/>
            <w:tcBorders>
              <w:top w:val="none" w:color="FFFFFF" w:sz="0"/>
              <w:left w:val="none" w:color="FFFFFF" w:sz="0"/>
              <w:bottom w:val="none" w:color="FFFFFF" w:sz="0"/>
              <w:right w:val="none" w:color="FFFFFF" w:sz="0"/>
            </w:tcBorders>
          </w:tcPr>
          <w:p>
            <w:pPr>
              <w:spacing w:after="400"/>
            </w:pPr>
            <w:r>
              <w:rPr>
                <w:rFonts w:ascii="Times New Roman" w:cs="Times New Roman" w:eastAsia="Times New Roman" w:hAnsi="Times New Roman"/>
                <w:sz w:val="24"/>
                <w:szCs w:val="24"/>
              </w:rPr>
              <w:t xml:space="preserve"> </w:t>
            </w:r>
          </w:p>
          <w:p>
            <w:pPr>
              <w:spacing w:after="40"/>
              <w:jc w:val="center"/>
            </w:pPr>
            <w:r>
              <w:rPr>
                <w:rFonts w:ascii="Times New Roman" w:cs="Times New Roman" w:eastAsia="Times New Roman" w:hAnsi="Times New Roman"/>
                <w:b/>
                <w:bCs/>
                <w:sz w:val="24"/>
                <w:szCs w:val="24"/>
              </w:rPr>
              <w:t xml:space="preserve">Co-Investigator</w:t>
            </w:r>
          </w:p>
          <w:p>
            <w:pPr>
              <w:spacing w:after="40"/>
              <w:jc w:val="center"/>
            </w:pPr>
            <w:r>
              <w:rPr>
                <w:rFonts w:ascii="Times New Roman" w:cs="Times New Roman" w:eastAsia="Times New Roman" w:hAnsi="Times New Roman"/>
                <w:sz w:val="24"/>
                <w:szCs w:val="24"/>
              </w:rPr>
              <w:t xml:space="preserve">Shankumar</w:t>
            </w:r>
          </w:p>
          <w:p>
            <w:pPr>
              <w:jc w:val="center"/>
            </w:pPr>
            <w:r>
              <w:rPr>
                <w:rFonts w:ascii="Times New Roman" w:cs="Times New Roman" w:eastAsia="Times New Roman" w:hAnsi="Times New Roman"/>
                <w:sz w:val="24"/>
                <w:szCs w:val="24"/>
              </w:rPr>
              <w:t xml:space="preserve">Date and place: </w:t>
            </w:r>
            <w:r>
              <w:rPr>
                <w:rFonts w:ascii="Times New Roman" w:cs="Times New Roman" w:eastAsia="Times New Roman" w:hAnsi="Times New Roman"/>
                <w:sz w:val="24"/>
                <w:szCs w:val="24"/>
                <w:highlight w:val="yellow"/>
                <w:highlightCs w:val="yellow"/>
              </w:rPr>
              <w:t xml:space="preserve">[   ]</w:t>
            </w:r>
          </w:p>
        </w:tc>
        <w:tc>
          <w:tcPr>
            <w:tcW w:type="dxa" w:w="3008"/>
            <w:tcBorders>
              <w:top w:val="none" w:color="FFFFFF" w:sz="0"/>
              <w:left w:val="none" w:color="FFFFFF" w:sz="0"/>
              <w:bottom w:val="none" w:color="FFFFFF" w:sz="0"/>
              <w:right w:val="none" w:color="FFFFFF" w:sz="0"/>
            </w:tcBorders>
          </w:tcPr>
          <w:p>
            <w:pPr>
              <w:spacing w:after="400"/>
            </w:pPr>
            <w:r>
              <w:rPr>
                <w:rFonts w:ascii="Times New Roman" w:cs="Times New Roman" w:eastAsia="Times New Roman" w:hAnsi="Times New Roman"/>
                <w:sz w:val="24"/>
                <w:szCs w:val="24"/>
              </w:rPr>
              <w:t xml:space="preserve"> </w:t>
            </w:r>
          </w:p>
          <w:p>
            <w:pPr>
              <w:spacing w:after="40"/>
              <w:jc w:val="center"/>
            </w:pPr>
            <w:r>
              <w:rPr>
                <w:rFonts w:ascii="Times New Roman" w:cs="Times New Roman" w:eastAsia="Times New Roman" w:hAnsi="Times New Roman"/>
                <w:b/>
                <w:bCs/>
                <w:sz w:val="24"/>
                <w:szCs w:val="24"/>
              </w:rPr>
              <w:t xml:space="preserve">Head of Institution</w:t>
            </w:r>
          </w:p>
          <w:p>
            <w:pPr>
              <w:spacing w:after="40"/>
              <w:jc w:val="center"/>
            </w:pPr>
            <w:r>
              <w:rPr>
                <w:rFonts w:ascii="Times New Roman" w:cs="Times New Roman" w:eastAsia="Times New Roman" w:hAnsi="Times New Roman"/>
                <w:sz w:val="24"/>
                <w:szCs w:val="24"/>
                <w:highlight w:val="yellow"/>
                <w:highlightCs w:val="yellow"/>
              </w:rPr>
              <w:t xml:space="preserve">[Name]</w:t>
            </w:r>
          </w:p>
          <w:p>
            <w:pPr>
              <w:jc w:val="center"/>
            </w:pPr>
            <w:r>
              <w:rPr>
                <w:rFonts w:ascii="Times New Roman" w:cs="Times New Roman" w:eastAsia="Times New Roman" w:hAnsi="Times New Roman"/>
                <w:sz w:val="24"/>
                <w:szCs w:val="24"/>
              </w:rPr>
              <w:t xml:space="preserve">Date and place: </w:t>
            </w:r>
            <w:r>
              <w:rPr>
                <w:rFonts w:ascii="Times New Roman" w:cs="Times New Roman" w:eastAsia="Times New Roman" w:hAnsi="Times New Roman"/>
                <w:sz w:val="24"/>
                <w:szCs w:val="24"/>
                <w:highlight w:val="yellow"/>
                <w:highlightCs w:val="yellow"/>
              </w:rPr>
              <w:t xml:space="preserve">[   ]</w:t>
            </w:r>
          </w:p>
        </w:tc>
      </w:tr>
    </w:tbl>
    <w:p>
      <w:pPr>
        <w:pageBreakBefore/>
      </w:pPr>
    </w:p>
    <w:p>
      <w:pPr>
        <w:spacing w:after="160" w:before="0" w:line="276"/>
        <w:jc w:val="center"/>
      </w:pPr>
      <w:r>
        <w:rPr>
          <w:rFonts w:ascii="Times New Roman" w:cs="Times New Roman" w:eastAsia="Times New Roman" w:hAnsi="Times New Roman"/>
          <w:b/>
          <w:bCs/>
          <w:sz w:val="24"/>
          <w:szCs w:val="24"/>
        </w:rPr>
        <w:t xml:space="preserve">Annexure A: Bill of Materials per Pilot Unit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626"/>
        <w:gridCol w:w="15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S. No</w:t>
            </w:r>
          </w:p>
        </w:tc>
        <w:tc>
          <w:tcPr>
            <w:tcW w:type="dxa" w:w="33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Component</w:t>
            </w:r>
          </w:p>
        </w:tc>
        <w:tc>
          <w:tcPr>
            <w:tcW w:type="dxa" w:w="362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Purpose</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64"/>
              <w:jc w:val="center"/>
            </w:pPr>
            <w:r>
              <w:rPr>
                <w:rFonts w:ascii="Times New Roman" w:cs="Times New Roman" w:eastAsia="Times New Roman" w:hAnsi="Times New Roman"/>
                <w:b/>
                <w:bCs/>
                <w:sz w:val="24"/>
                <w:szCs w:val="24"/>
              </w:rPr>
              <w:t xml:space="preserve">Cost (Rs.)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Arduino-compatible microcontroller board with shield</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Central controller: reads sensors, runs logic, commands motor</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1,200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2</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Stepper motor with driver and gearbox</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Precise lid opening/closing with holding torque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2,500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3</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PIR motion sensors (2 nos.)</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Detect human/animal presence near the opening</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800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4</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Ultrasonic proximity sensor</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Second-sensor confirmation to reduce false triggers</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400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5</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Rain sensor module</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Detects rainfall to open lid for harvesting</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300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6</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GSM module with SIM holder</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SMS/IoT alerts to designated authorities</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1,200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7</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Solar panel (20 W)</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Primary power source; doubles as lid surface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1,800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8</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12 V 7 Ah sealed battery</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Backup for night and cloudy days</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1,000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9</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Solar charge controller</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Battery protection and regulated charging</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600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10</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Lid, frame, safety grille and weatherproof enclosure</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Fabrication of cover, load-bearing grille and filter housing</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3,500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11</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Wiring, limit switches, connectors, fuses, sundries</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sz w:val="24"/>
                <w:szCs w:val="24"/>
              </w:rPr>
              <w:t xml:space="preserve">Interconnection and protection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sz w:val="24"/>
                <w:szCs w:val="24"/>
              </w:rPr>
              <w:t xml:space="preserve">500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r>
              <w:rPr>
                <w:rFonts w:ascii="Times New Roman" w:cs="Times New Roman" w:eastAsia="Times New Roman" w:hAnsi="Times New Roman"/>
                <w:b/>
                <w:bCs/>
                <w:sz w:val="24"/>
                <w:szCs w:val="24"/>
              </w:rPr>
              <w:t xml:space="preserve">Total per unit</w:t>
            </w:r>
          </w:p>
        </w:tc>
        <w:tc>
          <w:tcPr>
            <w:tcW w:type="dxa" w:w="362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left"/>
            </w:pP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64"/>
              <w:jc w:val="right"/>
            </w:pPr>
            <w:r>
              <w:rPr>
                <w:rFonts w:ascii="Times New Roman" w:cs="Times New Roman" w:eastAsia="Times New Roman" w:hAnsi="Times New Roman"/>
                <w:b/>
                <w:bCs/>
                <w:sz w:val="24"/>
                <w:szCs w:val="24"/>
              </w:rPr>
              <w:t xml:space="preserve">13,800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2026-09-24T12:18:38.513Z</dcterms:created>
  <dcterms:modified xsi:type="dcterms:W3CDTF">2026-09-24T12:18:38.513Z</dcterms:modified>
</cp:coreProperties>
</file>

<file path=docProps/custom.xml><?xml version="1.0" encoding="utf-8"?>
<Properties xmlns="http://schemas.openxmlformats.org/officeDocument/2006/custom-properties" xmlns:vt="http://schemas.openxmlformats.org/officeDocument/2006/docPropsVTypes"/>
</file>