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031" w:rsidRDefault="00180629">
      <w:pPr>
        <w:rPr>
          <w:rFonts w:ascii="Times New Roman" w:hAnsi="Times New Roman" w:cs="Times New Roman"/>
          <w:sz w:val="28"/>
          <w:szCs w:val="28"/>
          <w:lang w:val="en-US"/>
        </w:rPr>
      </w:pPr>
      <w:r>
        <w:rPr>
          <w:rFonts w:ascii="Times New Roman" w:hAnsi="Times New Roman" w:cs="Times New Roman"/>
          <w:sz w:val="28"/>
          <w:szCs w:val="28"/>
          <w:lang w:val="en-US"/>
        </w:rPr>
        <w:t xml:space="preserve">Does </w:t>
      </w:r>
      <w:r w:rsidR="00BA7031">
        <w:rPr>
          <w:rFonts w:ascii="Times New Roman" w:hAnsi="Times New Roman" w:cs="Times New Roman"/>
          <w:sz w:val="28"/>
          <w:szCs w:val="28"/>
          <w:lang w:val="en-US"/>
        </w:rPr>
        <w:t>Digital Orientation Drive ESG Performance: A Cross-Sector Analysis of Indian Listed Companies (NIFTY 500, FY2023-24)</w:t>
      </w:r>
    </w:p>
    <w:p w:rsidR="00C06892" w:rsidRDefault="00C06892">
      <w:pPr>
        <w:rPr>
          <w:rFonts w:ascii="Times New Roman" w:hAnsi="Times New Roman" w:cs="Times New Roman"/>
          <w:sz w:val="28"/>
          <w:szCs w:val="28"/>
          <w:lang w:val="en-US"/>
        </w:rPr>
      </w:pPr>
      <w:r>
        <w:rPr>
          <w:rFonts w:ascii="Times New Roman" w:hAnsi="Times New Roman" w:cs="Times New Roman"/>
          <w:sz w:val="28"/>
          <w:szCs w:val="28"/>
          <w:lang w:val="en-US"/>
        </w:rPr>
        <w:t>ABSTRACT</w:t>
      </w:r>
    </w:p>
    <w:p w:rsidR="00B24AB3" w:rsidRDefault="00C06892">
      <w:pPr>
        <w:rPr>
          <w:rFonts w:cstheme="minorHAnsi"/>
          <w:szCs w:val="28"/>
          <w:lang w:val="en-US"/>
        </w:rPr>
      </w:pPr>
      <w:r>
        <w:rPr>
          <w:rFonts w:cstheme="minorHAnsi"/>
          <w:szCs w:val="28"/>
          <w:lang w:val="en-US"/>
        </w:rPr>
        <w:t>This study examines whether a company’s Digital Orientation (DO) measured across four dimensions adapted from Kindermann et al. (2021) significantly predicts its Environmental, Social and Governance (ESG) performance among Nifty 500 companies for fiscal year 2023-24. Using a computer aided text analysis (CATA) methodology applied to annual reports and CRISIL ESG ratings, the analysis covers 437 companies with both valid DO Scores and ESG Ratings. Our findings reveal that while digital orientation shows a small statistically significant positive correlation with ESG performance in unadjusted analysis</w:t>
      </w:r>
      <w:r w:rsidR="00A13519">
        <w:rPr>
          <w:rFonts w:cstheme="minorHAnsi"/>
          <w:szCs w:val="28"/>
          <w:lang w:val="en-US"/>
        </w:rPr>
        <w:t xml:space="preserve"> (r = 0.123, p = 0.010), this relationship disappears entirely once industry fixed effects are controlled for (β = 0.043, p = 0.353). Among the four digital orientation dimensions, only Digital Architecture Configuration retains a significant independent association with ESG rating (β = 0.0032, p = 0.0008). Sector level analysis reveals that only Capital Goods exhibits a statistically significant positive </w:t>
      </w:r>
      <w:r w:rsidR="00C47887">
        <w:rPr>
          <w:rFonts w:cstheme="minorHAnsi"/>
          <w:szCs w:val="28"/>
          <w:lang w:val="en-US"/>
        </w:rPr>
        <w:t>DO-ESG relationship (r = 0.384, p = 0.005), while Information Technology despite being the most digitally intensive sector shows no correlation whatsoever (r = - 0.023, p = 0.916). Divergence quadrant analysis further reveals that high digital/ low ESG companies cluster in Chemicals and Capital Goods, contradicting the hypothesis that digitally native service sectors would dominate this quadrant. Overall, the evidence favors the interpretation that digital adoption and ESG performance are largely independent, industry d</w:t>
      </w:r>
      <w:r w:rsidR="00730917">
        <w:rPr>
          <w:rFonts w:cstheme="minorHAnsi"/>
          <w:szCs w:val="28"/>
          <w:lang w:val="en-US"/>
        </w:rPr>
        <w:t>riven phenomena rather than caus</w:t>
      </w:r>
      <w:r w:rsidR="00C47887">
        <w:rPr>
          <w:rFonts w:cstheme="minorHAnsi"/>
          <w:szCs w:val="28"/>
          <w:lang w:val="en-US"/>
        </w:rPr>
        <w:t xml:space="preserve">ally linked outcomes with a narrow exception for infrastructure specific digital investment. </w:t>
      </w:r>
    </w:p>
    <w:p w:rsidR="00C06892" w:rsidRPr="00C06892" w:rsidRDefault="00B24AB3">
      <w:pPr>
        <w:rPr>
          <w:rFonts w:cstheme="minorHAnsi"/>
          <w:szCs w:val="28"/>
          <w:lang w:val="en-US"/>
        </w:rPr>
      </w:pPr>
      <w:r w:rsidRPr="00B24AB3">
        <w:rPr>
          <w:rFonts w:cstheme="minorHAnsi"/>
          <w:sz w:val="24"/>
          <w:szCs w:val="28"/>
          <w:lang w:val="en-US"/>
        </w:rPr>
        <w:t>Keywords:</w:t>
      </w:r>
      <w:r>
        <w:rPr>
          <w:rFonts w:cstheme="minorHAnsi"/>
          <w:szCs w:val="28"/>
          <w:lang w:val="en-US"/>
        </w:rPr>
        <w:t xml:space="preserve"> </w:t>
      </w:r>
      <w:r w:rsidR="00037684">
        <w:rPr>
          <w:rFonts w:cstheme="minorHAnsi"/>
          <w:szCs w:val="28"/>
          <w:lang w:val="en-US"/>
        </w:rPr>
        <w:t xml:space="preserve"> </w:t>
      </w:r>
      <w:r>
        <w:rPr>
          <w:rFonts w:cstheme="minorHAnsi"/>
          <w:szCs w:val="28"/>
          <w:lang w:val="en-US"/>
        </w:rPr>
        <w:t>Digital Orientation, ESG Performance, Corporate Sustainability, Nifty 500, India, Computer-Aided Text Analysis, Industry Fixed Effects</w:t>
      </w:r>
    </w:p>
    <w:p w:rsidR="00BA7031" w:rsidRPr="00752803" w:rsidRDefault="00752803" w:rsidP="00752803">
      <w:pPr>
        <w:rPr>
          <w:rFonts w:ascii="Times New Roman" w:hAnsi="Times New Roman" w:cs="Times New Roman"/>
          <w:sz w:val="28"/>
          <w:szCs w:val="28"/>
          <w:lang w:val="en-US"/>
        </w:rPr>
      </w:pPr>
      <w:r>
        <w:rPr>
          <w:rFonts w:ascii="Times New Roman" w:hAnsi="Times New Roman" w:cs="Times New Roman"/>
          <w:sz w:val="28"/>
          <w:szCs w:val="28"/>
          <w:lang w:val="en-US"/>
        </w:rPr>
        <w:t>1.</w:t>
      </w:r>
      <w:r w:rsidR="00BA7031" w:rsidRPr="00752803">
        <w:rPr>
          <w:rFonts w:ascii="Times New Roman" w:hAnsi="Times New Roman" w:cs="Times New Roman"/>
          <w:sz w:val="28"/>
          <w:szCs w:val="28"/>
          <w:lang w:val="en-US"/>
        </w:rPr>
        <w:t>Introduction</w:t>
      </w:r>
    </w:p>
    <w:p w:rsidR="00DC549D" w:rsidRDefault="00BD5803">
      <w:pPr>
        <w:rPr>
          <w:rFonts w:cstheme="minorHAnsi"/>
          <w:szCs w:val="28"/>
          <w:lang w:val="en-US"/>
        </w:rPr>
      </w:pPr>
      <w:r>
        <w:rPr>
          <w:rFonts w:cstheme="minorHAnsi"/>
          <w:szCs w:val="28"/>
          <w:lang w:val="en-US"/>
        </w:rPr>
        <w:t>India’s Corporate sustainability landscape has undergone a profound transformation in recent years. The Securities and Exchange Board of India (SEBI) introduced the Business Responsibility and Sustainability Reporting (BRSR) framework in 2021, making comprehensive ESG disclosure mandatory for the top 1,000 listed companies for fiscal year 2022-23 onward. This Regulatory push has accelerated ESG disclosure quality and quantity across Indian capital markets, creating a rich dataset for empirical analysis. Simultaneously, digital transformation has emerged as a strategic priority for Indian corporates in the post-covid-19 era. Companie</w:t>
      </w:r>
      <w:r w:rsidR="00420287">
        <w:rPr>
          <w:rFonts w:cstheme="minorHAnsi"/>
          <w:szCs w:val="28"/>
          <w:lang w:val="en-US"/>
        </w:rPr>
        <w:t>s across sectors have invested heavily in technology adoption, digital infrastructure, data analytics</w:t>
      </w:r>
      <w:r>
        <w:rPr>
          <w:rFonts w:cstheme="minorHAnsi"/>
          <w:szCs w:val="28"/>
          <w:lang w:val="en-US"/>
        </w:rPr>
        <w:t xml:space="preserve"> </w:t>
      </w:r>
      <w:r w:rsidR="00420287">
        <w:rPr>
          <w:rFonts w:cstheme="minorHAnsi"/>
          <w:szCs w:val="28"/>
          <w:lang w:val="en-US"/>
        </w:rPr>
        <w:t>capabilities and ecosystem partnerships. The convergence of these two megatrends: sustainability reporting and digital transformation, raises a natural but underexplored empirical question</w:t>
      </w:r>
      <w:r w:rsidR="00BF29F2">
        <w:rPr>
          <w:rFonts w:cstheme="minorHAnsi"/>
          <w:szCs w:val="28"/>
          <w:lang w:val="en-US"/>
        </w:rPr>
        <w:t xml:space="preserve">: </w:t>
      </w:r>
      <w:r w:rsidR="00420287">
        <w:rPr>
          <w:rFonts w:cstheme="minorHAnsi"/>
          <w:szCs w:val="28"/>
          <w:lang w:val="en-US"/>
        </w:rPr>
        <w:t xml:space="preserve">does a company’s digital orientation defined as its investment in and articulation of digital </w:t>
      </w:r>
      <w:r w:rsidR="00DC549D">
        <w:rPr>
          <w:rFonts w:cstheme="minorHAnsi"/>
          <w:szCs w:val="28"/>
          <w:lang w:val="en-US"/>
        </w:rPr>
        <w:t>technologies actually translate into better ESG outcomes.</w:t>
      </w:r>
    </w:p>
    <w:p w:rsidR="00FC2990" w:rsidRDefault="00DC549D">
      <w:pPr>
        <w:rPr>
          <w:rFonts w:cstheme="minorHAnsi"/>
          <w:szCs w:val="28"/>
          <w:lang w:val="en-US"/>
        </w:rPr>
      </w:pPr>
      <w:r>
        <w:rPr>
          <w:rFonts w:cstheme="minorHAnsi"/>
          <w:szCs w:val="28"/>
          <w:lang w:val="en-US"/>
        </w:rPr>
        <w:t>This question is theoretically significant for three reasons. First, Institutional investors and ESG-focused funds increasingly use ESG ratings as screening criteria, understanding what drives these scores helps both investors and companies allocate resources efficiently. Second, digital technologies, IOT sensors for emission monitoring, AI for supply chain</w:t>
      </w:r>
      <w:r w:rsidR="006E5E2D">
        <w:rPr>
          <w:rFonts w:cstheme="minorHAnsi"/>
          <w:szCs w:val="28"/>
          <w:lang w:val="en-US"/>
        </w:rPr>
        <w:t xml:space="preserve"> optimization, block</w:t>
      </w:r>
      <w:r w:rsidR="005E009A">
        <w:rPr>
          <w:rFonts w:cstheme="minorHAnsi"/>
          <w:szCs w:val="28"/>
          <w:lang w:val="en-US"/>
        </w:rPr>
        <w:t xml:space="preserve"> </w:t>
      </w:r>
      <w:r w:rsidR="006E5E2D">
        <w:rPr>
          <w:rFonts w:cstheme="minorHAnsi"/>
          <w:szCs w:val="28"/>
          <w:lang w:val="en-US"/>
        </w:rPr>
        <w:t>chain</w:t>
      </w:r>
      <w:r w:rsidR="005E009A">
        <w:rPr>
          <w:rFonts w:cstheme="minorHAnsi"/>
          <w:szCs w:val="28"/>
          <w:lang w:val="en-US"/>
        </w:rPr>
        <w:t xml:space="preserve"> for transparency are frequently cited as ESG ena</w:t>
      </w:r>
      <w:r w:rsidR="005B3D2C">
        <w:rPr>
          <w:rFonts w:cstheme="minorHAnsi"/>
          <w:szCs w:val="28"/>
          <w:lang w:val="en-US"/>
        </w:rPr>
        <w:t>blers in practitioner literature but this relationship has not been empirically tested at scale in emerging markets like India. Third, sector heterogeneity in India is extreme: Information Technology companies are digitally intensive by nature while Metals &amp; Mining companies face entirely different technology adoption challenges making a cross-sector analysis</w:t>
      </w:r>
      <w:r w:rsidR="0085260F">
        <w:rPr>
          <w:rFonts w:cstheme="minorHAnsi"/>
          <w:szCs w:val="28"/>
          <w:lang w:val="en-US"/>
        </w:rPr>
        <w:t xml:space="preserve"> particularly valuable for understanding boundary conditions.</w:t>
      </w:r>
    </w:p>
    <w:p w:rsidR="00EC5652" w:rsidRDefault="00752803">
      <w:pPr>
        <w:rPr>
          <w:rFonts w:cstheme="minorHAnsi"/>
          <w:sz w:val="28"/>
          <w:szCs w:val="28"/>
          <w:lang w:val="en-US"/>
        </w:rPr>
      </w:pPr>
      <w:r>
        <w:rPr>
          <w:rFonts w:ascii="Times New Roman" w:hAnsi="Times New Roman" w:cs="Times New Roman"/>
          <w:sz w:val="28"/>
          <w:szCs w:val="28"/>
          <w:lang w:val="en-US"/>
        </w:rPr>
        <w:t>2.</w:t>
      </w:r>
      <w:r w:rsidR="00EC5652">
        <w:rPr>
          <w:rFonts w:ascii="Times New Roman" w:hAnsi="Times New Roman" w:cs="Times New Roman"/>
          <w:sz w:val="28"/>
          <w:szCs w:val="28"/>
          <w:lang w:val="en-US"/>
        </w:rPr>
        <w:t>Research Questions</w:t>
      </w:r>
      <w:r w:rsidR="00FC2990">
        <w:rPr>
          <w:rFonts w:ascii="Times New Roman" w:hAnsi="Times New Roman" w:cs="Times New Roman"/>
          <w:sz w:val="28"/>
          <w:szCs w:val="28"/>
          <w:lang w:val="en-US"/>
        </w:rPr>
        <w:t xml:space="preserve"> </w:t>
      </w:r>
    </w:p>
    <w:p w:rsidR="00FC2990" w:rsidRDefault="00FC2990">
      <w:pPr>
        <w:rPr>
          <w:rFonts w:cstheme="minorHAnsi"/>
          <w:szCs w:val="28"/>
          <w:lang w:val="en-US"/>
        </w:rPr>
      </w:pPr>
      <w:r>
        <w:rPr>
          <w:rFonts w:cstheme="minorHAnsi"/>
          <w:szCs w:val="28"/>
          <w:lang w:val="en-US"/>
        </w:rPr>
        <w:t xml:space="preserve">This study addresses one primary </w:t>
      </w:r>
      <w:r w:rsidR="00A71643">
        <w:rPr>
          <w:rFonts w:cstheme="minorHAnsi"/>
          <w:szCs w:val="28"/>
          <w:lang w:val="en-US"/>
        </w:rPr>
        <w:t>and three secondary research questions</w:t>
      </w:r>
      <w:r w:rsidR="00BF29F2">
        <w:rPr>
          <w:rFonts w:cstheme="minorHAnsi"/>
          <w:szCs w:val="28"/>
          <w:lang w:val="en-US"/>
        </w:rPr>
        <w:t xml:space="preserve">: </w:t>
      </w:r>
    </w:p>
    <w:p w:rsidR="00BF29F2" w:rsidRDefault="00BF29F2">
      <w:pPr>
        <w:rPr>
          <w:rFonts w:cstheme="minorHAnsi"/>
          <w:szCs w:val="28"/>
          <w:lang w:val="en-US"/>
        </w:rPr>
      </w:pPr>
      <w:r>
        <w:rPr>
          <w:rFonts w:cstheme="minorHAnsi"/>
          <w:szCs w:val="28"/>
          <w:lang w:val="en-US"/>
        </w:rPr>
        <w:t>Primary Research Question</w:t>
      </w:r>
      <w:r w:rsidR="00BF050F">
        <w:rPr>
          <w:rFonts w:cstheme="minorHAnsi"/>
          <w:szCs w:val="28"/>
          <w:lang w:val="en-US"/>
        </w:rPr>
        <w:t xml:space="preserve"> (PRQ)</w:t>
      </w:r>
      <w:r>
        <w:rPr>
          <w:rFonts w:cstheme="minorHAnsi"/>
          <w:szCs w:val="28"/>
          <w:lang w:val="en-US"/>
        </w:rPr>
        <w:t>: Does digital orientation (measured across 4 dimensions) significantly predict ESG performance among Nifty 500 companies, after c</w:t>
      </w:r>
      <w:r w:rsidR="00FC6346">
        <w:rPr>
          <w:rFonts w:cstheme="minorHAnsi"/>
          <w:szCs w:val="28"/>
          <w:lang w:val="en-US"/>
        </w:rPr>
        <w:t>ontrolling for industry effects</w:t>
      </w:r>
      <w:r>
        <w:rPr>
          <w:rFonts w:cstheme="minorHAnsi"/>
          <w:szCs w:val="28"/>
          <w:lang w:val="en-US"/>
        </w:rPr>
        <w:t xml:space="preserve">? </w:t>
      </w:r>
    </w:p>
    <w:p w:rsidR="00FC6346" w:rsidRDefault="00BF29F2">
      <w:pPr>
        <w:rPr>
          <w:rFonts w:cstheme="minorHAnsi"/>
          <w:szCs w:val="28"/>
          <w:lang w:val="en-US"/>
        </w:rPr>
      </w:pPr>
      <w:r>
        <w:rPr>
          <w:rFonts w:cstheme="minorHAnsi"/>
          <w:szCs w:val="28"/>
          <w:lang w:val="en-US"/>
        </w:rPr>
        <w:t>Secondary Research Question</w:t>
      </w:r>
      <w:r w:rsidR="00BF050F">
        <w:rPr>
          <w:rFonts w:cstheme="minorHAnsi"/>
          <w:szCs w:val="28"/>
          <w:lang w:val="en-US"/>
        </w:rPr>
        <w:t xml:space="preserve"> (SRQ)</w:t>
      </w:r>
      <w:r>
        <w:rPr>
          <w:rFonts w:cstheme="minorHAnsi"/>
          <w:szCs w:val="28"/>
          <w:lang w:val="en-US"/>
        </w:rPr>
        <w:t>:</w:t>
      </w:r>
    </w:p>
    <w:p w:rsidR="00BF29F2" w:rsidRDefault="00FC6346">
      <w:pPr>
        <w:rPr>
          <w:rFonts w:cstheme="minorHAnsi"/>
          <w:szCs w:val="28"/>
          <w:lang w:val="en-US"/>
        </w:rPr>
      </w:pPr>
      <w:r>
        <w:rPr>
          <w:rFonts w:cstheme="minorHAnsi"/>
          <w:szCs w:val="28"/>
          <w:lang w:val="en-US"/>
        </w:rPr>
        <w:t>Q1</w:t>
      </w:r>
      <w:r w:rsidR="00BF29F2">
        <w:rPr>
          <w:rFonts w:cstheme="minorHAnsi"/>
          <w:szCs w:val="28"/>
          <w:lang w:val="en-US"/>
        </w:rPr>
        <w:t xml:space="preserve"> Which of the four digital</w:t>
      </w:r>
      <w:r w:rsidR="00E225A3">
        <w:rPr>
          <w:rFonts w:cstheme="minorHAnsi"/>
          <w:szCs w:val="28"/>
          <w:lang w:val="en-US"/>
        </w:rPr>
        <w:t xml:space="preserve"> orientation dimensions</w:t>
      </w:r>
      <w:r>
        <w:rPr>
          <w:rFonts w:cstheme="minorHAnsi"/>
          <w:szCs w:val="28"/>
          <w:lang w:val="en-US"/>
        </w:rPr>
        <w:t xml:space="preserve"> (Technology Scope, Capabilities, Ecosystem Coordination, Architecture Configuration) is most strongly associated with ESG performance.</w:t>
      </w:r>
    </w:p>
    <w:p w:rsidR="00BF29F2" w:rsidRDefault="00FC6346" w:rsidP="00FC6346">
      <w:pPr>
        <w:rPr>
          <w:rFonts w:cstheme="minorHAnsi"/>
          <w:szCs w:val="28"/>
          <w:lang w:val="en-US"/>
        </w:rPr>
      </w:pPr>
      <w:r>
        <w:rPr>
          <w:rFonts w:cstheme="minorHAnsi"/>
          <w:szCs w:val="28"/>
          <w:lang w:val="en-US"/>
        </w:rPr>
        <w:lastRenderedPageBreak/>
        <w:t xml:space="preserve">Q2 </w:t>
      </w:r>
      <w:r w:rsidR="00CE7691">
        <w:rPr>
          <w:rFonts w:cstheme="minorHAnsi"/>
          <w:szCs w:val="28"/>
          <w:lang w:val="en-US"/>
        </w:rPr>
        <w:t>Does the relationship between digital orientation and ESG performance vary significantly across sectors and if so, which sectors show the strongest and weakest relationships?</w:t>
      </w:r>
    </w:p>
    <w:p w:rsidR="00CE7691" w:rsidRDefault="00CE7691" w:rsidP="00FC6346">
      <w:pPr>
        <w:rPr>
          <w:rFonts w:cstheme="minorHAnsi"/>
          <w:szCs w:val="28"/>
          <w:lang w:val="en-US"/>
        </w:rPr>
      </w:pPr>
      <w:r>
        <w:rPr>
          <w:rFonts w:cstheme="minorHAnsi"/>
          <w:szCs w:val="28"/>
          <w:lang w:val="en-US"/>
        </w:rPr>
        <w:t>Q3 Are there companies with high digital orientation but low ESG performance (or vice versa), and what industries do they cluster in?</w:t>
      </w:r>
    </w:p>
    <w:p w:rsidR="00752803" w:rsidRDefault="00752803" w:rsidP="00FC6346">
      <w:pPr>
        <w:rPr>
          <w:rFonts w:cstheme="minorHAnsi"/>
          <w:szCs w:val="28"/>
          <w:lang w:val="en-US"/>
        </w:rPr>
      </w:pPr>
    </w:p>
    <w:p w:rsidR="00752803" w:rsidRDefault="00752803" w:rsidP="00FC6346">
      <w:pPr>
        <w:rPr>
          <w:rFonts w:ascii="Times New Roman" w:hAnsi="Times New Roman" w:cs="Times New Roman"/>
          <w:sz w:val="28"/>
          <w:szCs w:val="28"/>
          <w:lang w:val="en-US"/>
        </w:rPr>
      </w:pPr>
      <w:r>
        <w:rPr>
          <w:rFonts w:ascii="Times New Roman" w:hAnsi="Times New Roman" w:cs="Times New Roman"/>
          <w:sz w:val="28"/>
          <w:szCs w:val="28"/>
          <w:lang w:val="en-US"/>
        </w:rPr>
        <w:t>3. Data &amp; Methodology</w:t>
      </w:r>
    </w:p>
    <w:p w:rsidR="00752803" w:rsidRDefault="00752803" w:rsidP="00FC6346">
      <w:pPr>
        <w:rPr>
          <w:rFonts w:ascii="Times New Roman" w:hAnsi="Times New Roman" w:cs="Times New Roman"/>
          <w:sz w:val="28"/>
          <w:szCs w:val="28"/>
          <w:lang w:val="en-US"/>
        </w:rPr>
      </w:pPr>
      <w:r>
        <w:rPr>
          <w:rFonts w:ascii="Times New Roman" w:hAnsi="Times New Roman" w:cs="Times New Roman"/>
          <w:sz w:val="28"/>
          <w:szCs w:val="28"/>
          <w:lang w:val="en-US"/>
        </w:rPr>
        <w:t xml:space="preserve">3.1 Sample </w:t>
      </w:r>
    </w:p>
    <w:p w:rsidR="00752803" w:rsidRDefault="00752803" w:rsidP="00FC6346">
      <w:pPr>
        <w:rPr>
          <w:rFonts w:cstheme="minorHAnsi"/>
          <w:szCs w:val="28"/>
          <w:lang w:val="en-US"/>
        </w:rPr>
      </w:pPr>
      <w:r>
        <w:rPr>
          <w:rFonts w:cstheme="minorHAnsi"/>
          <w:szCs w:val="28"/>
          <w:lang w:val="en-US"/>
        </w:rPr>
        <w:t>The sample comprises 501 companies listed on the National Stock Exchange (NSE) Nifty 500 index as of FY 2023-24, spanning 21 distinct industry classifications based on NSE sectoral indices. Of these 487 companies have a valid Digital Orientation Score (annual reports successfully sourced and processed) and</w:t>
      </w:r>
      <w:r w:rsidR="00DD521A">
        <w:rPr>
          <w:rFonts w:cstheme="minorHAnsi"/>
          <w:szCs w:val="28"/>
          <w:lang w:val="en-US"/>
        </w:rPr>
        <w:t xml:space="preserve"> 444</w:t>
      </w:r>
      <w:r>
        <w:rPr>
          <w:rFonts w:cstheme="minorHAnsi"/>
          <w:szCs w:val="28"/>
          <w:lang w:val="en-US"/>
        </w:rPr>
        <w:t xml:space="preserve"> </w:t>
      </w:r>
      <w:r w:rsidR="00DD521A">
        <w:rPr>
          <w:rFonts w:cstheme="minorHAnsi"/>
          <w:szCs w:val="28"/>
          <w:lang w:val="en-US"/>
        </w:rPr>
        <w:t>have a valid ESG Rating from CRISIL. The primary analysis sample companies with both DO Score</w:t>
      </w:r>
      <w:r w:rsidR="00EF62A1">
        <w:rPr>
          <w:rFonts w:cstheme="minorHAnsi"/>
          <w:szCs w:val="28"/>
          <w:lang w:val="en-US"/>
        </w:rPr>
        <w:t xml:space="preserve"> and ESG Rating comprises 437 firms. Fourteen companies lack a DO Score (annual reports not yet sourced or excluded on methodological grounds) while 57 lack an ESG Rating.</w:t>
      </w:r>
    </w:p>
    <w:p w:rsidR="00752803" w:rsidRDefault="00EF62A1" w:rsidP="00D55AA5">
      <w:pPr>
        <w:rPr>
          <w:rFonts w:cstheme="minorHAnsi"/>
          <w:szCs w:val="28"/>
          <w:lang w:val="en-US"/>
        </w:rPr>
      </w:pPr>
      <w:r>
        <w:rPr>
          <w:rFonts w:ascii="Times New Roman" w:hAnsi="Times New Roman" w:cs="Times New Roman"/>
          <w:sz w:val="28"/>
          <w:szCs w:val="28"/>
          <w:lang w:val="en-US"/>
        </w:rPr>
        <w:t xml:space="preserve">3.2 Digital Orientation Score Construction </w:t>
      </w:r>
    </w:p>
    <w:p w:rsidR="00D55AA5" w:rsidRDefault="00D55AA5" w:rsidP="00D55AA5">
      <w:pPr>
        <w:rPr>
          <w:rFonts w:cstheme="minorHAnsi"/>
          <w:szCs w:val="28"/>
          <w:lang w:val="en-US"/>
        </w:rPr>
      </w:pPr>
      <w:r>
        <w:rPr>
          <w:rFonts w:cstheme="minorHAnsi"/>
          <w:szCs w:val="28"/>
          <w:lang w:val="en-US"/>
        </w:rPr>
        <w:t>The four-dimension construct and keyword dictionary are adapted from Kindermann et al. (2021), European Management Journal. A validated computer-aided</w:t>
      </w:r>
      <w:r w:rsidR="00933D92">
        <w:rPr>
          <w:rFonts w:cstheme="minorHAnsi"/>
          <w:szCs w:val="28"/>
          <w:lang w:val="en-US"/>
        </w:rPr>
        <w:t xml:space="preserve"> text analysis (CATA) instrument originally developed on S&amp;P 500 shareholder letters. Keyword frequencies were counted in each company’s FY2023-24 annual report using a deterministic, whole-word/phrase-matching script applied identically across all reports.</w:t>
      </w:r>
    </w:p>
    <w:p w:rsidR="00933D92" w:rsidRDefault="00933D92" w:rsidP="00D55AA5">
      <w:pPr>
        <w:rPr>
          <w:rFonts w:cstheme="minorHAnsi"/>
          <w:szCs w:val="28"/>
          <w:lang w:val="en-US"/>
        </w:rPr>
      </w:pPr>
    </w:p>
    <w:p w:rsidR="005A78C3" w:rsidRDefault="00933D92" w:rsidP="00D55AA5">
      <w:pPr>
        <w:rPr>
          <w:rFonts w:cstheme="minorHAnsi"/>
          <w:szCs w:val="28"/>
          <w:lang w:val="en-US"/>
        </w:rPr>
      </w:pPr>
      <w:r>
        <w:rPr>
          <w:rFonts w:cstheme="minorHAnsi"/>
          <w:szCs w:val="28"/>
          <w:lang w:val="en-US"/>
        </w:rPr>
        <w:t xml:space="preserve">The DO Score is normalized by report length to control for verbosity: </w:t>
      </w:r>
    </w:p>
    <w:p w:rsidR="00D55AA5" w:rsidRDefault="00933D92" w:rsidP="0056543A">
      <w:pPr>
        <w:rPr>
          <w:rFonts w:cstheme="minorHAnsi"/>
          <w:szCs w:val="28"/>
          <w:lang w:val="en-US"/>
        </w:rPr>
      </w:pPr>
      <w:r>
        <w:rPr>
          <w:rFonts w:cstheme="minorHAnsi"/>
          <w:szCs w:val="28"/>
          <w:lang w:val="en-US"/>
        </w:rPr>
        <w:t xml:space="preserve">                                  </w:t>
      </w:r>
      <w:r w:rsidR="0056543A">
        <w:rPr>
          <w:rFonts w:cstheme="minorHAnsi"/>
          <w:szCs w:val="28"/>
          <w:lang w:val="en-US"/>
        </w:rPr>
        <w:t xml:space="preserve">        </w:t>
      </w:r>
      <w:r w:rsidR="0056543A">
        <w:t>DO Score = (Sum of 4 sub-scores / Total words in report) x 1000</w:t>
      </w:r>
    </w:p>
    <w:p w:rsidR="00FD56CE" w:rsidRDefault="00FD56CE" w:rsidP="00BB6169">
      <w:pPr>
        <w:rPr>
          <w:rFonts w:cstheme="minorHAnsi"/>
          <w:szCs w:val="28"/>
          <w:lang w:val="en-US"/>
        </w:rPr>
      </w:pPr>
      <w:r>
        <w:rPr>
          <w:rFonts w:cstheme="minorHAnsi"/>
          <w:szCs w:val="28"/>
          <w:lang w:val="en-US"/>
        </w:rPr>
        <w:t xml:space="preserve">This normalization ensures the score reflects digital intensity relative to report length and normalized DO Score </w:t>
      </w:r>
      <w:r w:rsidR="00BB6169">
        <w:rPr>
          <w:rFonts w:cstheme="minorHAnsi"/>
          <w:szCs w:val="28"/>
          <w:lang w:val="en-US"/>
        </w:rPr>
        <w:t>was checked and found negligible (r</w:t>
      </w:r>
      <w:r w:rsidR="00BB6169">
        <w:t>≈</w:t>
      </w:r>
      <w:r w:rsidR="00BB6169">
        <w:rPr>
          <w:rFonts w:cstheme="minorHAnsi"/>
          <w:szCs w:val="28"/>
          <w:lang w:val="en-US"/>
        </w:rPr>
        <w:t xml:space="preserve">0.06), ruling out verbosity as a confound. </w:t>
      </w:r>
    </w:p>
    <w:p w:rsidR="00BB6169" w:rsidRDefault="00BB6169" w:rsidP="00BB6169">
      <w:pPr>
        <w:rPr>
          <w:rFonts w:cstheme="minorHAnsi"/>
          <w:szCs w:val="28"/>
          <w:lang w:val="en-US"/>
        </w:rPr>
      </w:pPr>
      <w:r w:rsidRPr="00054628">
        <w:rPr>
          <w:rFonts w:ascii="Times New Roman" w:hAnsi="Times New Roman" w:cs="Times New Roman"/>
          <w:b/>
          <w:sz w:val="24"/>
          <w:szCs w:val="28"/>
          <w:lang w:val="en-US"/>
        </w:rPr>
        <w:t>Segmentation:</w:t>
      </w:r>
      <w:r>
        <w:rPr>
          <w:rFonts w:ascii="Times New Roman" w:hAnsi="Times New Roman" w:cs="Times New Roman"/>
          <w:sz w:val="24"/>
          <w:szCs w:val="28"/>
          <w:lang w:val="en-US"/>
        </w:rPr>
        <w:t xml:space="preserve"> </w:t>
      </w:r>
      <w:r>
        <w:rPr>
          <w:rFonts w:cstheme="minorHAnsi"/>
          <w:szCs w:val="28"/>
          <w:lang w:val="en-US"/>
        </w:rPr>
        <w:t>Companies were split into Low/Medium/High DO tiers using Tertile splits based on the 33</w:t>
      </w:r>
      <w:r w:rsidRPr="00BB6169">
        <w:rPr>
          <w:rFonts w:cstheme="minorHAnsi"/>
          <w:szCs w:val="28"/>
          <w:vertAlign w:val="superscript"/>
          <w:lang w:val="en-US"/>
        </w:rPr>
        <w:t>rd</w:t>
      </w:r>
      <w:r>
        <w:rPr>
          <w:rFonts w:cstheme="minorHAnsi"/>
          <w:szCs w:val="28"/>
          <w:lang w:val="en-US"/>
        </w:rPr>
        <w:t xml:space="preserve"> and 67</w:t>
      </w:r>
      <w:r w:rsidRPr="00BB6169">
        <w:rPr>
          <w:rFonts w:cstheme="minorHAnsi"/>
          <w:szCs w:val="28"/>
          <w:vertAlign w:val="superscript"/>
          <w:lang w:val="en-US"/>
        </w:rPr>
        <w:t>th</w:t>
      </w:r>
      <w:r>
        <w:rPr>
          <w:rFonts w:cstheme="minorHAnsi"/>
          <w:szCs w:val="28"/>
          <w:lang w:val="en-US"/>
        </w:rPr>
        <w:t xml:space="preserve"> percentiles of the DO Score distribution among the 487 companies with valid scores:</w:t>
      </w:r>
    </w:p>
    <w:p w:rsidR="0054615C" w:rsidRPr="0054615C" w:rsidRDefault="00BB6169" w:rsidP="0054615C">
      <w:pPr>
        <w:rPr>
          <w:rFonts w:cstheme="minorHAnsi"/>
          <w:szCs w:val="28"/>
          <w:lang w:val="en-US"/>
        </w:rPr>
      </w:pPr>
      <w:r>
        <w:rPr>
          <w:rFonts w:cstheme="minorHAnsi"/>
          <w:szCs w:val="28"/>
          <w:lang w:val="en-US"/>
        </w:rPr>
        <w:t>P33</w:t>
      </w:r>
      <w:r w:rsidR="00EB4091">
        <w:rPr>
          <w:rFonts w:cstheme="minorHAnsi"/>
          <w:szCs w:val="28"/>
          <w:lang w:val="en-US"/>
        </w:rPr>
        <w:t xml:space="preserve"> cutoff: 3.83</w:t>
      </w:r>
      <w:r w:rsidR="0054615C">
        <w:rPr>
          <w:rFonts w:cstheme="minorHAnsi"/>
          <w:szCs w:val="28"/>
          <w:lang w:val="en-US"/>
        </w:rPr>
        <w:t xml:space="preserve">   P67 cutoff: 6.44</w:t>
      </w:r>
    </w:p>
    <w:p w:rsidR="0054615C" w:rsidRDefault="0054615C" w:rsidP="0054615C">
      <w:pPr>
        <w:rPr>
          <w:rFonts w:cstheme="minorHAnsi"/>
          <w:szCs w:val="28"/>
          <w:lang w:val="en-US"/>
        </w:rPr>
      </w:pPr>
      <w:r>
        <w:rPr>
          <w:rFonts w:ascii="Times New Roman" w:hAnsi="Times New Roman" w:cs="Times New Roman"/>
          <w:sz w:val="28"/>
          <w:szCs w:val="28"/>
          <w:lang w:val="en-US"/>
        </w:rPr>
        <w:t xml:space="preserve">3.3 ESG Data </w:t>
      </w:r>
    </w:p>
    <w:p w:rsidR="0054615C" w:rsidRDefault="0054615C" w:rsidP="0054615C">
      <w:pPr>
        <w:rPr>
          <w:rFonts w:cstheme="minorHAnsi"/>
          <w:szCs w:val="28"/>
          <w:lang w:val="en-US"/>
        </w:rPr>
      </w:pPr>
      <w:r>
        <w:rPr>
          <w:rFonts w:cstheme="minorHAnsi"/>
          <w:szCs w:val="28"/>
          <w:lang w:val="en-US"/>
        </w:rPr>
        <w:t xml:space="preserve">ESG Category and ESG Rating were sourced from CRISIL, India’s leading credit rating and research agency. CRISIL ESG ratings are publicly available and based on a comprehensive assessment of </w:t>
      </w:r>
      <w:r w:rsidR="007B42A9">
        <w:rPr>
          <w:rFonts w:cstheme="minorHAnsi"/>
          <w:szCs w:val="28"/>
          <w:lang w:val="en-US"/>
        </w:rPr>
        <w:t>environmental, social and governance parameters. The ratings range from 0 to 100, with higher scores indicating bette</w:t>
      </w:r>
      <w:r w:rsidR="00DF7A9B">
        <w:rPr>
          <w:rFonts w:cstheme="minorHAnsi"/>
          <w:szCs w:val="28"/>
          <w:lang w:val="en-US"/>
        </w:rPr>
        <w:t xml:space="preserve">r ESG performance. CRISIL also </w:t>
      </w:r>
      <w:r w:rsidR="007B42A9">
        <w:rPr>
          <w:rFonts w:cstheme="minorHAnsi"/>
          <w:szCs w:val="28"/>
          <w:lang w:val="en-US"/>
        </w:rPr>
        <w:t>categorize</w:t>
      </w:r>
      <w:r w:rsidR="00054628">
        <w:rPr>
          <w:rFonts w:cstheme="minorHAnsi"/>
          <w:szCs w:val="28"/>
          <w:lang w:val="en-US"/>
        </w:rPr>
        <w:t>’</w:t>
      </w:r>
      <w:r w:rsidR="007B42A9">
        <w:rPr>
          <w:rFonts w:cstheme="minorHAnsi"/>
          <w:szCs w:val="28"/>
          <w:lang w:val="en-US"/>
        </w:rPr>
        <w:t xml:space="preserve">s companies into leadership, </w:t>
      </w:r>
      <w:r w:rsidR="001335F4">
        <w:rPr>
          <w:rFonts w:cstheme="minorHAnsi"/>
          <w:szCs w:val="28"/>
          <w:lang w:val="en-US"/>
        </w:rPr>
        <w:t>Strong, Adequate</w:t>
      </w:r>
      <w:r w:rsidR="007B42A9">
        <w:rPr>
          <w:rFonts w:cstheme="minorHAnsi"/>
          <w:szCs w:val="28"/>
          <w:lang w:val="en-US"/>
        </w:rPr>
        <w:t xml:space="preserve"> and Below Average tiers based on absolute score thresholds.  </w:t>
      </w:r>
    </w:p>
    <w:p w:rsidR="005A78C3" w:rsidRDefault="005A78C3" w:rsidP="0054615C">
      <w:pPr>
        <w:rPr>
          <w:rFonts w:ascii="Times New Roman" w:hAnsi="Times New Roman" w:cs="Times New Roman"/>
          <w:sz w:val="28"/>
          <w:szCs w:val="28"/>
          <w:lang w:val="en-US"/>
        </w:rPr>
      </w:pPr>
      <w:r>
        <w:rPr>
          <w:rFonts w:ascii="Times New Roman" w:hAnsi="Times New Roman" w:cs="Times New Roman"/>
          <w:sz w:val="28"/>
          <w:szCs w:val="28"/>
          <w:lang w:val="en-US"/>
        </w:rPr>
        <w:t>3.4 Empirical Strategy</w:t>
      </w:r>
    </w:p>
    <w:p w:rsidR="005A78C3" w:rsidRDefault="005A78C3" w:rsidP="0054615C">
      <w:pPr>
        <w:rPr>
          <w:rFonts w:cstheme="minorHAnsi"/>
          <w:szCs w:val="28"/>
          <w:lang w:val="en-US"/>
        </w:rPr>
      </w:pPr>
      <w:r>
        <w:rPr>
          <w:rFonts w:cstheme="minorHAnsi"/>
          <w:szCs w:val="28"/>
          <w:lang w:val="en-US"/>
        </w:rPr>
        <w:t xml:space="preserve">We employ a multi-method analytical approach: </w:t>
      </w:r>
    </w:p>
    <w:p w:rsidR="005A78C3" w:rsidRDefault="005A78C3" w:rsidP="0054615C">
      <w:pPr>
        <w:rPr>
          <w:rFonts w:cstheme="minorHAnsi"/>
          <w:szCs w:val="28"/>
          <w:lang w:val="en-US"/>
        </w:rPr>
      </w:pPr>
      <w:r w:rsidRPr="002D2CB5">
        <w:rPr>
          <w:rFonts w:ascii="Times New Roman" w:hAnsi="Times New Roman" w:cs="Times New Roman"/>
          <w:b/>
          <w:sz w:val="24"/>
          <w:szCs w:val="28"/>
          <w:lang w:val="en-US"/>
        </w:rPr>
        <w:t>Descriptive Analysis:</w:t>
      </w:r>
      <w:r w:rsidRPr="002D2CB5">
        <w:rPr>
          <w:rFonts w:cstheme="minorHAnsi"/>
          <w:sz w:val="24"/>
          <w:szCs w:val="28"/>
          <w:lang w:val="en-US"/>
        </w:rPr>
        <w:t xml:space="preserve"> </w:t>
      </w:r>
      <w:r>
        <w:rPr>
          <w:rFonts w:cstheme="minorHAnsi"/>
          <w:szCs w:val="28"/>
          <w:lang w:val="en-US"/>
        </w:rPr>
        <w:t>Distribution characteristics, industry-level means and cross-tabulations.</w:t>
      </w:r>
    </w:p>
    <w:p w:rsidR="005A78C3" w:rsidRDefault="00437F97" w:rsidP="0054615C">
      <w:pPr>
        <w:rPr>
          <w:rFonts w:cstheme="minorHAnsi"/>
          <w:szCs w:val="28"/>
          <w:lang w:val="en-US"/>
        </w:rPr>
      </w:pPr>
      <w:r w:rsidRPr="002D2CB5">
        <w:rPr>
          <w:rFonts w:ascii="Times New Roman" w:hAnsi="Times New Roman" w:cs="Times New Roman"/>
          <w:b/>
          <w:sz w:val="24"/>
          <w:szCs w:val="28"/>
          <w:lang w:val="en-US"/>
        </w:rPr>
        <w:t>Bivariate Analysis:</w:t>
      </w:r>
      <w:r w:rsidRPr="002D2CB5">
        <w:rPr>
          <w:rFonts w:cstheme="minorHAnsi"/>
          <w:sz w:val="24"/>
          <w:szCs w:val="28"/>
          <w:lang w:val="en-US"/>
        </w:rPr>
        <w:t xml:space="preserve"> </w:t>
      </w:r>
      <w:r>
        <w:rPr>
          <w:rFonts w:cstheme="minorHAnsi"/>
          <w:szCs w:val="28"/>
          <w:lang w:val="en-US"/>
        </w:rPr>
        <w:t>Pearson and Spearman correlations between DO Score and ESG Rating, both full sample and industry stratified.</w:t>
      </w:r>
    </w:p>
    <w:p w:rsidR="00437F97" w:rsidRDefault="00437F97" w:rsidP="0054615C">
      <w:pPr>
        <w:rPr>
          <w:rFonts w:cstheme="minorHAnsi"/>
          <w:szCs w:val="28"/>
          <w:lang w:val="en-US"/>
        </w:rPr>
      </w:pPr>
      <w:r w:rsidRPr="002D2CB5">
        <w:rPr>
          <w:rFonts w:ascii="Times New Roman" w:hAnsi="Times New Roman" w:cs="Times New Roman"/>
          <w:b/>
          <w:sz w:val="24"/>
          <w:szCs w:val="28"/>
          <w:lang w:val="en-US"/>
        </w:rPr>
        <w:t>Analysis of Variance (ANOVA):</w:t>
      </w:r>
      <w:r w:rsidRPr="002D2CB5">
        <w:rPr>
          <w:rFonts w:cstheme="minorHAnsi"/>
          <w:sz w:val="24"/>
          <w:szCs w:val="28"/>
          <w:lang w:val="en-US"/>
        </w:rPr>
        <w:t xml:space="preserve"> </w:t>
      </w:r>
      <w:r>
        <w:rPr>
          <w:rFonts w:cstheme="minorHAnsi"/>
          <w:szCs w:val="28"/>
          <w:lang w:val="en-US"/>
        </w:rPr>
        <w:t>Comparison of ESG ratings across DO tiers (Low/Medium/High) with Tukey HSD post-hoc tests.</w:t>
      </w:r>
    </w:p>
    <w:p w:rsidR="005A78C3" w:rsidRDefault="00437F97" w:rsidP="00437F97">
      <w:pPr>
        <w:rPr>
          <w:rFonts w:cstheme="minorHAnsi"/>
          <w:szCs w:val="28"/>
          <w:lang w:val="en-US"/>
        </w:rPr>
      </w:pPr>
      <w:r w:rsidRPr="002D2CB5">
        <w:rPr>
          <w:rFonts w:ascii="Times New Roman" w:hAnsi="Times New Roman" w:cs="Times New Roman"/>
          <w:b/>
          <w:sz w:val="24"/>
          <w:szCs w:val="28"/>
          <w:lang w:val="en-US"/>
        </w:rPr>
        <w:t>Ordinary Least Squares (OLS) Regression:</w:t>
      </w:r>
      <w:r w:rsidRPr="002D2CB5">
        <w:rPr>
          <w:rFonts w:cstheme="minorHAnsi"/>
          <w:sz w:val="24"/>
          <w:szCs w:val="28"/>
          <w:lang w:val="en-US"/>
        </w:rPr>
        <w:t xml:space="preserve"> </w:t>
      </w:r>
      <w:r>
        <w:rPr>
          <w:rFonts w:cstheme="minorHAnsi"/>
          <w:szCs w:val="28"/>
          <w:lang w:val="en-US"/>
        </w:rPr>
        <w:t>Three nested models:</w:t>
      </w:r>
    </w:p>
    <w:p w:rsidR="005A78C3" w:rsidRPr="00437F97" w:rsidRDefault="00437F97" w:rsidP="00437F97">
      <w:pPr>
        <w:pStyle w:val="ListParagraph"/>
        <w:numPr>
          <w:ilvl w:val="0"/>
          <w:numId w:val="6"/>
        </w:numPr>
        <w:rPr>
          <w:rFonts w:cstheme="minorHAnsi"/>
          <w:szCs w:val="28"/>
          <w:lang w:val="en-US"/>
        </w:rPr>
      </w:pPr>
      <w:r>
        <w:rPr>
          <w:rFonts w:cstheme="minorHAnsi"/>
          <w:szCs w:val="28"/>
          <w:lang w:val="en-US"/>
        </w:rPr>
        <w:lastRenderedPageBreak/>
        <w:t xml:space="preserve">Model 1 (Baseline): ESG = </w:t>
      </w:r>
      <w:r>
        <w:t>β₀ + β₁ (DO Score) – unadjusted relationship</w:t>
      </w:r>
    </w:p>
    <w:p w:rsidR="00437F97" w:rsidRPr="006D771C" w:rsidRDefault="00437F97" w:rsidP="00437F97">
      <w:pPr>
        <w:pStyle w:val="ListParagraph"/>
        <w:numPr>
          <w:ilvl w:val="0"/>
          <w:numId w:val="6"/>
        </w:numPr>
        <w:rPr>
          <w:rFonts w:cstheme="minorHAnsi"/>
          <w:szCs w:val="28"/>
          <w:lang w:val="en-US"/>
        </w:rPr>
      </w:pPr>
      <w:r>
        <w:t xml:space="preserve">Model 2 (Industry FE): ESG = β₀ + β₁ (DO Score) + </w:t>
      </w:r>
      <w:r w:rsidR="00426B53">
        <w:rPr>
          <w:rFonts w:cstheme="minorHAnsi"/>
        </w:rPr>
        <w:t>∑</w:t>
      </w:r>
      <w:r w:rsidR="00426B53">
        <w:t xml:space="preserve"> </w:t>
      </w:r>
      <w:r>
        <w:t>(Industry dummies) – controlling for sector</w:t>
      </w:r>
    </w:p>
    <w:p w:rsidR="006D771C" w:rsidRPr="002D2CB5" w:rsidRDefault="006D771C" w:rsidP="006D771C">
      <w:pPr>
        <w:pStyle w:val="ListParagraph"/>
        <w:numPr>
          <w:ilvl w:val="0"/>
          <w:numId w:val="6"/>
        </w:numPr>
        <w:rPr>
          <w:rFonts w:cstheme="minorHAnsi"/>
          <w:szCs w:val="28"/>
          <w:lang w:val="en-US"/>
        </w:rPr>
      </w:pPr>
      <w:r>
        <w:t>Model 3 (Sub-score Decomposition): ESG = β₀ + β₁ (Tech Scope)</w:t>
      </w:r>
      <w:r w:rsidR="00426B53">
        <w:t xml:space="preserve"> </w:t>
      </w:r>
      <w:r>
        <w:t>+</w:t>
      </w:r>
      <w:r w:rsidR="00426B53">
        <w:t xml:space="preserve"> </w:t>
      </w:r>
      <w:r w:rsidR="00426B53">
        <w:rPr>
          <w:rFonts w:cstheme="minorHAnsi"/>
        </w:rPr>
        <w:t>β</w:t>
      </w:r>
      <w:r w:rsidR="00426B53">
        <w:rPr>
          <w:rFonts w:cstheme="minorHAnsi"/>
          <w:vertAlign w:val="subscript"/>
        </w:rPr>
        <w:t xml:space="preserve">2 </w:t>
      </w:r>
      <w:r w:rsidR="00426B53">
        <w:rPr>
          <w:rFonts w:cstheme="minorHAnsi"/>
        </w:rPr>
        <w:t>(Capabilities) + β</w:t>
      </w:r>
      <w:r w:rsidR="00426B53">
        <w:rPr>
          <w:rFonts w:cstheme="minorHAnsi"/>
          <w:vertAlign w:val="subscript"/>
        </w:rPr>
        <w:t>3</w:t>
      </w:r>
      <w:r w:rsidR="00426B53">
        <w:rPr>
          <w:rFonts w:cstheme="minorHAnsi"/>
        </w:rPr>
        <w:t xml:space="preserve"> (Ecosystem) + β</w:t>
      </w:r>
      <w:r w:rsidR="00426B53">
        <w:rPr>
          <w:rFonts w:cstheme="minorHAnsi"/>
          <w:vertAlign w:val="subscript"/>
        </w:rPr>
        <w:t>4</w:t>
      </w:r>
      <w:r w:rsidR="00426B53">
        <w:rPr>
          <w:rFonts w:cstheme="minorHAnsi"/>
        </w:rPr>
        <w:t xml:space="preserve"> (Architecture) + ∑ (Industry dummies) – identifying which dimension drives results</w:t>
      </w:r>
    </w:p>
    <w:p w:rsidR="005A78C3" w:rsidRDefault="002D2CB5" w:rsidP="002676F5">
      <w:pPr>
        <w:rPr>
          <w:rFonts w:cstheme="minorHAnsi"/>
          <w:szCs w:val="28"/>
          <w:lang w:val="en-US"/>
        </w:rPr>
      </w:pPr>
      <w:r w:rsidRPr="002676F5">
        <w:rPr>
          <w:rFonts w:ascii="Times New Roman" w:hAnsi="Times New Roman" w:cs="Times New Roman"/>
          <w:b/>
          <w:sz w:val="24"/>
          <w:szCs w:val="28"/>
          <w:lang w:val="en-US"/>
        </w:rPr>
        <w:t>Divergence Quadrant Analysis:</w:t>
      </w:r>
      <w:r w:rsidRPr="002676F5">
        <w:rPr>
          <w:rFonts w:cstheme="minorHAnsi"/>
          <w:sz w:val="24"/>
          <w:szCs w:val="28"/>
          <w:lang w:val="en-US"/>
        </w:rPr>
        <w:t xml:space="preserve"> </w:t>
      </w:r>
      <w:r>
        <w:rPr>
          <w:rFonts w:cstheme="minorHAnsi"/>
          <w:szCs w:val="28"/>
          <w:lang w:val="en-US"/>
        </w:rPr>
        <w:t>Median-split classification into four quadrants to identify sectoral clustering of misaligned firms.</w:t>
      </w:r>
    </w:p>
    <w:p w:rsidR="005A78C3" w:rsidRDefault="002676F5" w:rsidP="002676F5">
      <w:pPr>
        <w:rPr>
          <w:rFonts w:cstheme="minorHAnsi"/>
          <w:szCs w:val="28"/>
          <w:lang w:val="en-US"/>
        </w:rPr>
      </w:pPr>
      <w:r>
        <w:rPr>
          <w:rFonts w:cstheme="minorHAnsi"/>
          <w:szCs w:val="28"/>
          <w:lang w:val="en-US"/>
        </w:rPr>
        <w:t>All statistical analysis was conduc</w:t>
      </w:r>
      <w:r w:rsidR="004E54A1">
        <w:rPr>
          <w:rFonts w:cstheme="minorHAnsi"/>
          <w:szCs w:val="28"/>
          <w:lang w:val="en-US"/>
        </w:rPr>
        <w:t>ted using Python (pandas, scipy, statsmodels</w:t>
      </w:r>
      <w:r>
        <w:rPr>
          <w:rFonts w:cstheme="minorHAnsi"/>
          <w:szCs w:val="28"/>
          <w:lang w:val="en-US"/>
        </w:rPr>
        <w:t>) and Excel. Significance is assessed at α=0.05 unless otherwise noted.</w:t>
      </w:r>
      <w:r w:rsidR="00EE72B1">
        <w:rPr>
          <w:rFonts w:cstheme="minorHAnsi"/>
          <w:szCs w:val="28"/>
          <w:lang w:val="en-US"/>
        </w:rPr>
        <w:t xml:space="preserve"> </w:t>
      </w:r>
    </w:p>
    <w:p w:rsidR="00EE72B1" w:rsidRDefault="00EE72B1" w:rsidP="002676F5">
      <w:pPr>
        <w:rPr>
          <w:rFonts w:ascii="Times New Roman" w:hAnsi="Times New Roman" w:cs="Times New Roman"/>
          <w:sz w:val="28"/>
          <w:szCs w:val="28"/>
          <w:lang w:val="en-US"/>
        </w:rPr>
      </w:pPr>
      <w:r>
        <w:rPr>
          <w:rFonts w:ascii="Times New Roman" w:hAnsi="Times New Roman" w:cs="Times New Roman"/>
          <w:sz w:val="28"/>
          <w:szCs w:val="28"/>
          <w:lang w:val="en-US"/>
        </w:rPr>
        <w:t>4. Results</w:t>
      </w:r>
    </w:p>
    <w:p w:rsidR="00247C2A" w:rsidRPr="006024D3" w:rsidRDefault="00247C2A" w:rsidP="002676F5">
      <w:pPr>
        <w:rPr>
          <w:rFonts w:ascii="Times New Roman" w:hAnsi="Times New Roman" w:cs="Times New Roman"/>
          <w:sz w:val="26"/>
          <w:szCs w:val="26"/>
          <w:lang w:val="en-US"/>
        </w:rPr>
      </w:pPr>
      <w:r w:rsidRPr="006024D3">
        <w:rPr>
          <w:rFonts w:ascii="Times New Roman" w:hAnsi="Times New Roman" w:cs="Times New Roman"/>
          <w:sz w:val="26"/>
          <w:szCs w:val="26"/>
          <w:lang w:val="en-US"/>
        </w:rPr>
        <w:t>4.1 Descriptive Overview</w:t>
      </w:r>
    </w:p>
    <w:p w:rsidR="00247C2A" w:rsidRPr="006024D3" w:rsidRDefault="00247C2A" w:rsidP="002676F5">
      <w:pPr>
        <w:rPr>
          <w:rFonts w:ascii="Times New Roman" w:hAnsi="Times New Roman" w:cs="Times New Roman"/>
          <w:sz w:val="24"/>
          <w:szCs w:val="28"/>
          <w:lang w:val="en-US"/>
        </w:rPr>
      </w:pPr>
      <w:r w:rsidRPr="006024D3">
        <w:rPr>
          <w:rFonts w:ascii="Times New Roman" w:hAnsi="Times New Roman" w:cs="Times New Roman"/>
          <w:sz w:val="24"/>
          <w:szCs w:val="28"/>
          <w:lang w:val="en-US"/>
        </w:rPr>
        <w:t xml:space="preserve">4.1.1 Overall Distribution  </w:t>
      </w:r>
    </w:p>
    <w:p w:rsidR="005A78C3" w:rsidRDefault="005A78C3" w:rsidP="0054615C">
      <w:pPr>
        <w:rPr>
          <w:rFonts w:cstheme="minorHAnsi"/>
          <w:szCs w:val="28"/>
          <w:lang w:val="en-US"/>
        </w:rPr>
      </w:pPr>
    </w:p>
    <w:tbl>
      <w:tblPr>
        <w:tblStyle w:val="TableGrid"/>
        <w:tblW w:w="0" w:type="auto"/>
        <w:tblInd w:w="2263" w:type="dxa"/>
        <w:tblLook w:val="04A0" w:firstRow="1" w:lastRow="0" w:firstColumn="1" w:lastColumn="0" w:noHBand="0" w:noVBand="1"/>
      </w:tblPr>
      <w:tblGrid>
        <w:gridCol w:w="1222"/>
        <w:gridCol w:w="3173"/>
        <w:gridCol w:w="1097"/>
      </w:tblGrid>
      <w:tr w:rsidR="006024D3" w:rsidTr="006024D3">
        <w:tc>
          <w:tcPr>
            <w:tcW w:w="1222"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Metric</w:t>
            </w:r>
          </w:p>
        </w:tc>
        <w:tc>
          <w:tcPr>
            <w:tcW w:w="3173" w:type="dxa"/>
          </w:tcPr>
          <w:p w:rsidR="006024D3" w:rsidRPr="00046F3F" w:rsidRDefault="006024D3" w:rsidP="00BE1CD3">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DO Score</w:t>
            </w:r>
          </w:p>
        </w:tc>
        <w:tc>
          <w:tcPr>
            <w:tcW w:w="1097"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ESG Rating</w:t>
            </w:r>
          </w:p>
        </w:tc>
      </w:tr>
      <w:tr w:rsidR="006024D3" w:rsidTr="006024D3">
        <w:trPr>
          <w:trHeight w:val="431"/>
        </w:trPr>
        <w:tc>
          <w:tcPr>
            <w:tcW w:w="1222"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N</w:t>
            </w:r>
          </w:p>
        </w:tc>
        <w:tc>
          <w:tcPr>
            <w:tcW w:w="3173" w:type="dxa"/>
          </w:tcPr>
          <w:p w:rsidR="006024D3" w:rsidRPr="00046F3F" w:rsidRDefault="006024D3" w:rsidP="00BE1CD3">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487</w:t>
            </w:r>
          </w:p>
        </w:tc>
        <w:tc>
          <w:tcPr>
            <w:tcW w:w="1097"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444</w:t>
            </w:r>
          </w:p>
        </w:tc>
      </w:tr>
      <w:tr w:rsidR="006024D3" w:rsidTr="006024D3">
        <w:trPr>
          <w:trHeight w:val="408"/>
        </w:trPr>
        <w:tc>
          <w:tcPr>
            <w:tcW w:w="1222"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Mean</w:t>
            </w:r>
          </w:p>
        </w:tc>
        <w:tc>
          <w:tcPr>
            <w:tcW w:w="3173" w:type="dxa"/>
          </w:tcPr>
          <w:p w:rsidR="006024D3" w:rsidRPr="00046F3F" w:rsidRDefault="006024D3" w:rsidP="00BE1CD3">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6.344</w:t>
            </w:r>
          </w:p>
        </w:tc>
        <w:tc>
          <w:tcPr>
            <w:tcW w:w="1097"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57.858</w:t>
            </w:r>
          </w:p>
        </w:tc>
      </w:tr>
      <w:tr w:rsidR="006024D3" w:rsidTr="006024D3">
        <w:trPr>
          <w:trHeight w:val="428"/>
        </w:trPr>
        <w:tc>
          <w:tcPr>
            <w:tcW w:w="1222"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Median</w:t>
            </w:r>
          </w:p>
        </w:tc>
        <w:tc>
          <w:tcPr>
            <w:tcW w:w="3173" w:type="dxa"/>
          </w:tcPr>
          <w:p w:rsidR="006024D3" w:rsidRPr="00046F3F" w:rsidRDefault="006024D3" w:rsidP="00BE1CD3">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5.084</w:t>
            </w:r>
          </w:p>
        </w:tc>
        <w:tc>
          <w:tcPr>
            <w:tcW w:w="1097"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58.000</w:t>
            </w:r>
          </w:p>
        </w:tc>
      </w:tr>
      <w:tr w:rsidR="006024D3" w:rsidTr="006024D3">
        <w:trPr>
          <w:trHeight w:val="406"/>
        </w:trPr>
        <w:tc>
          <w:tcPr>
            <w:tcW w:w="1222"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Standard Deviation</w:t>
            </w:r>
          </w:p>
        </w:tc>
        <w:tc>
          <w:tcPr>
            <w:tcW w:w="3173" w:type="dxa"/>
          </w:tcPr>
          <w:p w:rsidR="006024D3" w:rsidRPr="00046F3F" w:rsidRDefault="006024D3" w:rsidP="00BE1CD3">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4.958</w:t>
            </w:r>
          </w:p>
        </w:tc>
        <w:tc>
          <w:tcPr>
            <w:tcW w:w="1097"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5.841</w:t>
            </w:r>
          </w:p>
        </w:tc>
      </w:tr>
      <w:tr w:rsidR="006024D3" w:rsidTr="006024D3">
        <w:trPr>
          <w:trHeight w:val="426"/>
        </w:trPr>
        <w:tc>
          <w:tcPr>
            <w:tcW w:w="1222"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Minimum</w:t>
            </w:r>
          </w:p>
        </w:tc>
        <w:tc>
          <w:tcPr>
            <w:tcW w:w="3173" w:type="dxa"/>
          </w:tcPr>
          <w:p w:rsidR="006024D3" w:rsidRPr="00046F3F" w:rsidRDefault="006024D3" w:rsidP="00BE1CD3">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0.128</w:t>
            </w:r>
          </w:p>
        </w:tc>
        <w:tc>
          <w:tcPr>
            <w:tcW w:w="1097" w:type="dxa"/>
          </w:tcPr>
          <w:p w:rsidR="006024D3" w:rsidRPr="00046F3F" w:rsidRDefault="00195E38"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41</w:t>
            </w:r>
          </w:p>
        </w:tc>
      </w:tr>
      <w:tr w:rsidR="006024D3" w:rsidTr="006024D3">
        <w:trPr>
          <w:trHeight w:val="404"/>
        </w:trPr>
        <w:tc>
          <w:tcPr>
            <w:tcW w:w="1222"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Maximum</w:t>
            </w:r>
          </w:p>
        </w:tc>
        <w:tc>
          <w:tcPr>
            <w:tcW w:w="3173" w:type="dxa"/>
          </w:tcPr>
          <w:p w:rsidR="006024D3" w:rsidRPr="00046F3F" w:rsidRDefault="00195E38" w:rsidP="00BE1CD3">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30.792</w:t>
            </w:r>
          </w:p>
        </w:tc>
        <w:tc>
          <w:tcPr>
            <w:tcW w:w="1097" w:type="dxa"/>
          </w:tcPr>
          <w:p w:rsidR="006024D3" w:rsidRPr="00046F3F" w:rsidRDefault="00195E38"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77</w:t>
            </w:r>
          </w:p>
        </w:tc>
      </w:tr>
      <w:tr w:rsidR="006024D3" w:rsidTr="006024D3">
        <w:trPr>
          <w:trHeight w:val="424"/>
        </w:trPr>
        <w:tc>
          <w:tcPr>
            <w:tcW w:w="1222"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Skewness</w:t>
            </w:r>
          </w:p>
        </w:tc>
        <w:tc>
          <w:tcPr>
            <w:tcW w:w="3173" w:type="dxa"/>
          </w:tcPr>
          <w:p w:rsidR="006024D3" w:rsidRPr="00046F3F" w:rsidRDefault="00195E38" w:rsidP="00BE1CD3">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2.643</w:t>
            </w:r>
          </w:p>
        </w:tc>
        <w:tc>
          <w:tcPr>
            <w:tcW w:w="1097" w:type="dxa"/>
          </w:tcPr>
          <w:p w:rsidR="006024D3" w:rsidRPr="00046F3F" w:rsidRDefault="00195E38"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0.085</w:t>
            </w:r>
          </w:p>
        </w:tc>
      </w:tr>
      <w:tr w:rsidR="006024D3" w:rsidTr="006024D3">
        <w:trPr>
          <w:trHeight w:val="436"/>
        </w:trPr>
        <w:tc>
          <w:tcPr>
            <w:tcW w:w="1222" w:type="dxa"/>
          </w:tcPr>
          <w:p w:rsidR="006024D3" w:rsidRPr="00046F3F" w:rsidRDefault="006024D3"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Kurtosis</w:t>
            </w:r>
          </w:p>
        </w:tc>
        <w:tc>
          <w:tcPr>
            <w:tcW w:w="3173" w:type="dxa"/>
          </w:tcPr>
          <w:p w:rsidR="006024D3" w:rsidRPr="00046F3F" w:rsidRDefault="00195E38" w:rsidP="00BE1CD3">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8.514</w:t>
            </w:r>
          </w:p>
        </w:tc>
        <w:tc>
          <w:tcPr>
            <w:tcW w:w="1097" w:type="dxa"/>
          </w:tcPr>
          <w:p w:rsidR="006024D3" w:rsidRPr="00046F3F" w:rsidRDefault="00195E38" w:rsidP="009949AC">
            <w:pPr>
              <w:jc w:val="center"/>
              <w:rPr>
                <w:rFonts w:ascii="Times New Roman" w:hAnsi="Times New Roman" w:cs="Times New Roman"/>
                <w:sz w:val="24"/>
                <w:szCs w:val="28"/>
                <w:lang w:val="en-US"/>
              </w:rPr>
            </w:pPr>
            <w:r w:rsidRPr="00046F3F">
              <w:rPr>
                <w:rFonts w:ascii="Times New Roman" w:hAnsi="Times New Roman" w:cs="Times New Roman"/>
                <w:sz w:val="24"/>
                <w:szCs w:val="28"/>
                <w:lang w:val="en-US"/>
              </w:rPr>
              <w:t>0.164</w:t>
            </w:r>
          </w:p>
        </w:tc>
      </w:tr>
    </w:tbl>
    <w:p w:rsidR="006024D3" w:rsidRPr="0054615C" w:rsidRDefault="006024D3" w:rsidP="0054615C">
      <w:pPr>
        <w:rPr>
          <w:rFonts w:cstheme="minorHAnsi"/>
          <w:szCs w:val="28"/>
          <w:lang w:val="en-US"/>
        </w:rPr>
      </w:pPr>
    </w:p>
    <w:p w:rsidR="0054615C" w:rsidRDefault="00E21F00" w:rsidP="0054615C">
      <w:pPr>
        <w:rPr>
          <w:rFonts w:cstheme="minorHAnsi"/>
          <w:szCs w:val="28"/>
          <w:lang w:val="en-US"/>
        </w:rPr>
      </w:pPr>
      <w:r>
        <w:rPr>
          <w:rFonts w:cstheme="minorHAnsi"/>
          <w:szCs w:val="28"/>
          <w:lang w:val="en-US"/>
        </w:rPr>
        <w:t xml:space="preserve">The DO Score distribution is highly right-skewed (skewness=2.64), with a long tail of companies exhibiting extremely high digital articulation in their annual reports. The median (5.08) is substantially below the mean (6.34), indicating the most companies cluster at moderate digital intensity while a minority show exceptional digital focus. In contrast, the ESG Rating distribution is approximately normal (skewness = 0.09), centered around 58 with moderate dispersion.   </w:t>
      </w:r>
    </w:p>
    <w:p w:rsidR="00184774" w:rsidRDefault="00184774" w:rsidP="0054615C">
      <w:pPr>
        <w:rPr>
          <w:rFonts w:ascii="Times New Roman" w:hAnsi="Times New Roman" w:cs="Times New Roman"/>
          <w:sz w:val="24"/>
          <w:szCs w:val="28"/>
          <w:lang w:val="en-US"/>
        </w:rPr>
      </w:pPr>
      <w:r>
        <w:rPr>
          <w:rFonts w:ascii="Times New Roman" w:hAnsi="Times New Roman" w:cs="Times New Roman"/>
          <w:sz w:val="24"/>
          <w:szCs w:val="28"/>
          <w:lang w:val="en-US"/>
        </w:rPr>
        <w:t>4.1.2 Distribution by Industry</w:t>
      </w:r>
    </w:p>
    <w:tbl>
      <w:tblPr>
        <w:tblStyle w:val="TableGrid"/>
        <w:tblW w:w="0" w:type="auto"/>
        <w:tblLook w:val="04A0" w:firstRow="1" w:lastRow="0" w:firstColumn="1" w:lastColumn="0" w:noHBand="0" w:noVBand="1"/>
      </w:tblPr>
      <w:tblGrid>
        <w:gridCol w:w="2136"/>
        <w:gridCol w:w="2080"/>
        <w:gridCol w:w="2080"/>
        <w:gridCol w:w="2079"/>
        <w:gridCol w:w="2081"/>
      </w:tblGrid>
      <w:tr w:rsidR="00486953" w:rsidTr="00486953">
        <w:tc>
          <w:tcPr>
            <w:tcW w:w="2091" w:type="dxa"/>
          </w:tcPr>
          <w:p w:rsidR="00486953" w:rsidRP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Industry</w:t>
            </w:r>
          </w:p>
        </w:tc>
        <w:tc>
          <w:tcPr>
            <w:tcW w:w="2091" w:type="dxa"/>
          </w:tcPr>
          <w:p w:rsidR="00486953" w:rsidRDefault="00486953"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ESG N</w:t>
            </w:r>
          </w:p>
        </w:tc>
        <w:tc>
          <w:tcPr>
            <w:tcW w:w="2091" w:type="dxa"/>
          </w:tcPr>
          <w:p w:rsidR="00486953" w:rsidRDefault="00486953"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ESG Mean</w:t>
            </w:r>
          </w:p>
        </w:tc>
        <w:tc>
          <w:tcPr>
            <w:tcW w:w="2091" w:type="dxa"/>
          </w:tcPr>
          <w:p w:rsidR="00486953" w:rsidRDefault="00486953"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DO N</w:t>
            </w:r>
          </w:p>
        </w:tc>
        <w:tc>
          <w:tcPr>
            <w:tcW w:w="2092" w:type="dxa"/>
          </w:tcPr>
          <w:p w:rsidR="00486953" w:rsidRDefault="00486953"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DO Mean</w:t>
            </w:r>
          </w:p>
        </w:tc>
      </w:tr>
      <w:tr w:rsidR="00486953" w:rsidTr="00486953">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Information Technology</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25</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66.56</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25</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7.73</w:t>
            </w:r>
          </w:p>
        </w:tc>
      </w:tr>
      <w:tr w:rsidR="00486953" w:rsidTr="00486953">
        <w:trPr>
          <w:trHeight w:val="571"/>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Financial Services</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86</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62.48</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93</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7.68</w:t>
            </w:r>
          </w:p>
        </w:tc>
      </w:tr>
      <w:tr w:rsidR="00486953" w:rsidTr="00486953">
        <w:trPr>
          <w:trHeight w:val="565"/>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Healthcare</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44</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58.73</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48</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5.88</w:t>
            </w:r>
          </w:p>
        </w:tc>
      </w:tr>
      <w:tr w:rsidR="00486953" w:rsidTr="00486953">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Automobile and Auto components</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29</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58.72</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31</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6.27</w:t>
            </w:r>
          </w:p>
        </w:tc>
      </w:tr>
      <w:tr w:rsidR="00486953" w:rsidTr="00486953">
        <w:trPr>
          <w:trHeight w:val="567"/>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Consumer Durable</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19</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58.11</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19</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7.51</w:t>
            </w:r>
          </w:p>
        </w:tc>
      </w:tr>
      <w:tr w:rsidR="00486953" w:rsidTr="00486953">
        <w:trPr>
          <w:trHeight w:val="547"/>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Consumer Services</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19</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57.84</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26</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7.01</w:t>
            </w:r>
          </w:p>
        </w:tc>
      </w:tr>
      <w:tr w:rsidR="00486953" w:rsidTr="00486953">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lastRenderedPageBreak/>
              <w:t>Fast Moving Consumer Goods</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28</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57.57</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30</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5.96</w:t>
            </w:r>
          </w:p>
        </w:tc>
      </w:tr>
      <w:tr w:rsidR="00486953" w:rsidTr="00486953">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Media Entertainment &amp; Publication</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55.20</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6.50</w:t>
            </w:r>
          </w:p>
        </w:tc>
      </w:tr>
      <w:tr w:rsidR="00486953" w:rsidTr="00486953">
        <w:trPr>
          <w:trHeight w:val="590"/>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Power</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15</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55.00</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17</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3.52</w:t>
            </w:r>
          </w:p>
        </w:tc>
      </w:tr>
      <w:tr w:rsidR="00486953" w:rsidTr="00486953">
        <w:trPr>
          <w:trHeight w:val="556"/>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Capital Goods</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53</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54.87</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62</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4.80</w:t>
            </w:r>
          </w:p>
        </w:tc>
      </w:tr>
      <w:tr w:rsidR="00486953" w:rsidTr="00486953">
        <w:trPr>
          <w:trHeight w:val="550"/>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Telecommunication</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10</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54.80</w:t>
            </w:r>
          </w:p>
        </w:tc>
        <w:tc>
          <w:tcPr>
            <w:tcW w:w="2091" w:type="dxa"/>
          </w:tcPr>
          <w:p w:rsidR="00486953" w:rsidRDefault="00D32F73"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11</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13.95</w:t>
            </w:r>
          </w:p>
        </w:tc>
      </w:tr>
      <w:tr w:rsidR="00486953" w:rsidTr="00486953">
        <w:trPr>
          <w:trHeight w:val="558"/>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Realty</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10</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54.60</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10</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3.93</w:t>
            </w:r>
          </w:p>
        </w:tc>
      </w:tr>
      <w:tr w:rsidR="00486953" w:rsidTr="00486953">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Oil Gas &amp; Consumable Fuels</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18</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54.44</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18</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4.61</w:t>
            </w:r>
          </w:p>
        </w:tc>
      </w:tr>
      <w:tr w:rsidR="00486953" w:rsidTr="00486953">
        <w:trPr>
          <w:trHeight w:val="560"/>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Construction</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12</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52.58</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15</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4.75</w:t>
            </w:r>
          </w:p>
        </w:tc>
      </w:tr>
      <w:tr w:rsidR="00486953" w:rsidTr="002E602C">
        <w:trPr>
          <w:trHeight w:val="550"/>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Chemicals</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27</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52.52</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27</w:t>
            </w:r>
          </w:p>
        </w:tc>
        <w:tc>
          <w:tcPr>
            <w:tcW w:w="2092"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5.58</w:t>
            </w:r>
          </w:p>
        </w:tc>
      </w:tr>
      <w:tr w:rsidR="00486953" w:rsidTr="002E602C">
        <w:trPr>
          <w:trHeight w:val="558"/>
        </w:trPr>
        <w:tc>
          <w:tcPr>
            <w:tcW w:w="2091" w:type="dxa"/>
          </w:tcPr>
          <w:p w:rsidR="00486953" w:rsidRDefault="00486953" w:rsidP="00AA16CB">
            <w:pPr>
              <w:jc w:val="center"/>
              <w:rPr>
                <w:rFonts w:ascii="Times New Roman" w:hAnsi="Times New Roman" w:cs="Times New Roman"/>
                <w:sz w:val="24"/>
                <w:szCs w:val="28"/>
                <w:lang w:val="en-US"/>
              </w:rPr>
            </w:pPr>
            <w:r>
              <w:rPr>
                <w:rFonts w:ascii="Times New Roman" w:hAnsi="Times New Roman" w:cs="Times New Roman"/>
                <w:sz w:val="24"/>
                <w:szCs w:val="28"/>
                <w:lang w:val="en-US"/>
              </w:rPr>
              <w:t>Metals &amp; Mining</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16</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51.63</w:t>
            </w:r>
          </w:p>
        </w:tc>
        <w:tc>
          <w:tcPr>
            <w:tcW w:w="2091" w:type="dxa"/>
          </w:tcPr>
          <w:p w:rsidR="00486953" w:rsidRDefault="00F444D8" w:rsidP="00850A42">
            <w:pPr>
              <w:jc w:val="center"/>
              <w:rPr>
                <w:rFonts w:ascii="Times New Roman" w:hAnsi="Times New Roman" w:cs="Times New Roman"/>
                <w:sz w:val="24"/>
                <w:szCs w:val="28"/>
                <w:lang w:val="en-US"/>
              </w:rPr>
            </w:pPr>
            <w:r>
              <w:rPr>
                <w:rFonts w:ascii="Times New Roman" w:hAnsi="Times New Roman" w:cs="Times New Roman"/>
                <w:sz w:val="24"/>
                <w:szCs w:val="28"/>
                <w:lang w:val="en-US"/>
              </w:rPr>
              <w:t>17</w:t>
            </w:r>
          </w:p>
        </w:tc>
        <w:tc>
          <w:tcPr>
            <w:tcW w:w="2092" w:type="dxa"/>
          </w:tcPr>
          <w:p w:rsidR="00486953" w:rsidRPr="002A6A7E" w:rsidRDefault="00F444D8" w:rsidP="00850A42">
            <w:pPr>
              <w:jc w:val="center"/>
              <w:rPr>
                <w:rFonts w:cstheme="minorHAnsi"/>
                <w:szCs w:val="28"/>
                <w:lang w:val="en-US"/>
              </w:rPr>
            </w:pPr>
            <w:r>
              <w:rPr>
                <w:rFonts w:ascii="Times New Roman" w:hAnsi="Times New Roman" w:cs="Times New Roman"/>
                <w:sz w:val="24"/>
                <w:szCs w:val="28"/>
                <w:lang w:val="en-US"/>
              </w:rPr>
              <w:t>7.40</w:t>
            </w:r>
          </w:p>
        </w:tc>
      </w:tr>
    </w:tbl>
    <w:p w:rsidR="00D0124E" w:rsidRDefault="00D0124E" w:rsidP="0054615C">
      <w:pPr>
        <w:rPr>
          <w:rFonts w:cstheme="minorHAnsi"/>
          <w:szCs w:val="28"/>
          <w:lang w:val="en-US"/>
        </w:rPr>
      </w:pPr>
    </w:p>
    <w:p w:rsidR="00486953" w:rsidRDefault="00D0124E" w:rsidP="0054615C">
      <w:pPr>
        <w:rPr>
          <w:rFonts w:cstheme="minorHAnsi"/>
          <w:szCs w:val="28"/>
          <w:lang w:val="en-US"/>
        </w:rPr>
      </w:pPr>
      <w:r w:rsidRPr="00D0124E">
        <w:rPr>
          <w:rFonts w:cstheme="minorHAnsi"/>
          <w:szCs w:val="28"/>
          <w:lang w:val="en-US"/>
        </w:rPr>
        <w:t xml:space="preserve">Several patterns are immediately apparent. Information Technology and Financial Services rank first and second on both ESG mean (66.56 and 62.48) and DO mean (7.73 and 7.68). Conversely, Metals &amp; Mining and Chemicals rank at the bottom on ESG (51.63 and 52.52) </w:t>
      </w:r>
      <w:r>
        <w:rPr>
          <w:rFonts w:cstheme="minorHAnsi"/>
          <w:szCs w:val="28"/>
          <w:lang w:val="en-US"/>
        </w:rPr>
        <w:t>but are mid-to-high on DO (7.40 and 5.58). Telecommunication is an Outlier on DO (mean=13.95, highest of all industries) but only mid-range o ESG (54.80). These patterns suggest that industry membership may independently drive both digital orientation</w:t>
      </w:r>
      <w:r w:rsidR="008B5575">
        <w:rPr>
          <w:rFonts w:cstheme="minorHAnsi"/>
          <w:szCs w:val="28"/>
          <w:lang w:val="en-US"/>
        </w:rPr>
        <w:t xml:space="preserve"> and ESG performance, creating the conditions for a spurious bivariate correlation.</w:t>
      </w:r>
    </w:p>
    <w:p w:rsidR="00046F3F" w:rsidRDefault="00046F3F" w:rsidP="0054615C">
      <w:pPr>
        <w:rPr>
          <w:rFonts w:ascii="Times New Roman" w:hAnsi="Times New Roman" w:cs="Times New Roman"/>
          <w:sz w:val="26"/>
          <w:szCs w:val="26"/>
          <w:lang w:val="en-US"/>
        </w:rPr>
      </w:pPr>
      <w:r>
        <w:rPr>
          <w:rFonts w:ascii="Times New Roman" w:hAnsi="Times New Roman" w:cs="Times New Roman"/>
          <w:sz w:val="26"/>
          <w:szCs w:val="26"/>
          <w:lang w:val="en-US"/>
        </w:rPr>
        <w:t xml:space="preserve">4.2 Primary Research Question </w:t>
      </w:r>
      <w:r w:rsidR="001C4436">
        <w:rPr>
          <w:rFonts w:ascii="Times New Roman" w:hAnsi="Times New Roman" w:cs="Times New Roman"/>
          <w:sz w:val="26"/>
          <w:szCs w:val="26"/>
          <w:lang w:val="en-US"/>
        </w:rPr>
        <w:t>(PRQ)</w:t>
      </w:r>
    </w:p>
    <w:p w:rsidR="00046F3F" w:rsidRPr="00243868" w:rsidRDefault="00046F3F" w:rsidP="0054615C">
      <w:pPr>
        <w:rPr>
          <w:rFonts w:ascii="Times New Roman" w:hAnsi="Times New Roman" w:cs="Times New Roman"/>
          <w:sz w:val="24"/>
          <w:szCs w:val="26"/>
          <w:lang w:val="en-US"/>
        </w:rPr>
      </w:pPr>
      <w:r w:rsidRPr="00243868">
        <w:rPr>
          <w:rFonts w:ascii="Times New Roman" w:hAnsi="Times New Roman" w:cs="Times New Roman"/>
          <w:sz w:val="24"/>
          <w:szCs w:val="26"/>
          <w:lang w:val="en-US"/>
        </w:rPr>
        <w:t>4.2.1 Full Sample Co-relation</w:t>
      </w:r>
    </w:p>
    <w:tbl>
      <w:tblPr>
        <w:tblStyle w:val="TableGrid"/>
        <w:tblW w:w="0" w:type="auto"/>
        <w:tblInd w:w="3539" w:type="dxa"/>
        <w:tblLook w:val="04A0" w:firstRow="1" w:lastRow="0" w:firstColumn="1" w:lastColumn="0" w:noHBand="0" w:noVBand="1"/>
      </w:tblPr>
      <w:tblGrid>
        <w:gridCol w:w="1689"/>
        <w:gridCol w:w="1997"/>
      </w:tblGrid>
      <w:tr w:rsidR="00422651" w:rsidTr="00373097">
        <w:tc>
          <w:tcPr>
            <w:tcW w:w="1689" w:type="dxa"/>
          </w:tcPr>
          <w:p w:rsidR="00422651" w:rsidRPr="007E0238" w:rsidRDefault="00422651"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Statistic</w:t>
            </w:r>
          </w:p>
        </w:tc>
        <w:tc>
          <w:tcPr>
            <w:tcW w:w="1997" w:type="dxa"/>
          </w:tcPr>
          <w:p w:rsidR="00422651" w:rsidRPr="007E0238" w:rsidRDefault="00422651"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Value</w:t>
            </w:r>
          </w:p>
        </w:tc>
      </w:tr>
      <w:tr w:rsidR="00422651" w:rsidTr="00373097">
        <w:trPr>
          <w:trHeight w:val="432"/>
        </w:trPr>
        <w:tc>
          <w:tcPr>
            <w:tcW w:w="1689" w:type="dxa"/>
          </w:tcPr>
          <w:p w:rsidR="00422651" w:rsidRPr="007E0238" w:rsidRDefault="00422651"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Pearson-r</w:t>
            </w:r>
          </w:p>
        </w:tc>
        <w:tc>
          <w:tcPr>
            <w:tcW w:w="1997" w:type="dxa"/>
          </w:tcPr>
          <w:p w:rsidR="00422651" w:rsidRPr="007E0238" w:rsidRDefault="00373097"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0.1235</w:t>
            </w:r>
          </w:p>
        </w:tc>
      </w:tr>
      <w:tr w:rsidR="00422651" w:rsidTr="00373097">
        <w:trPr>
          <w:trHeight w:val="410"/>
        </w:trPr>
        <w:tc>
          <w:tcPr>
            <w:tcW w:w="1689" w:type="dxa"/>
          </w:tcPr>
          <w:p w:rsidR="00422651" w:rsidRPr="007E0238" w:rsidRDefault="00422651"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p-value</w:t>
            </w:r>
          </w:p>
        </w:tc>
        <w:tc>
          <w:tcPr>
            <w:tcW w:w="1997" w:type="dxa"/>
          </w:tcPr>
          <w:p w:rsidR="00422651" w:rsidRPr="007E0238" w:rsidRDefault="00373097"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0.0098</w:t>
            </w:r>
          </w:p>
        </w:tc>
      </w:tr>
      <w:tr w:rsidR="00422651" w:rsidTr="00373097">
        <w:trPr>
          <w:trHeight w:val="416"/>
        </w:trPr>
        <w:tc>
          <w:tcPr>
            <w:tcW w:w="1689" w:type="dxa"/>
          </w:tcPr>
          <w:p w:rsidR="00422651" w:rsidRPr="007E0238" w:rsidRDefault="00422651"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r-squared</w:t>
            </w:r>
          </w:p>
        </w:tc>
        <w:tc>
          <w:tcPr>
            <w:tcW w:w="1997" w:type="dxa"/>
          </w:tcPr>
          <w:p w:rsidR="00422651" w:rsidRPr="007E0238" w:rsidRDefault="00373097"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0.0152</w:t>
            </w:r>
          </w:p>
        </w:tc>
      </w:tr>
      <w:tr w:rsidR="00422651" w:rsidTr="00373097">
        <w:trPr>
          <w:trHeight w:val="408"/>
        </w:trPr>
        <w:tc>
          <w:tcPr>
            <w:tcW w:w="1689" w:type="dxa"/>
          </w:tcPr>
          <w:p w:rsidR="00422651" w:rsidRPr="007E0238" w:rsidRDefault="00422651"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Spearman ρ</w:t>
            </w:r>
          </w:p>
        </w:tc>
        <w:tc>
          <w:tcPr>
            <w:tcW w:w="1997" w:type="dxa"/>
          </w:tcPr>
          <w:p w:rsidR="00422651" w:rsidRPr="007E0238" w:rsidRDefault="00373097"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0.3390</w:t>
            </w:r>
          </w:p>
        </w:tc>
      </w:tr>
      <w:tr w:rsidR="00422651" w:rsidTr="00373097">
        <w:trPr>
          <w:trHeight w:val="428"/>
        </w:trPr>
        <w:tc>
          <w:tcPr>
            <w:tcW w:w="1689" w:type="dxa"/>
          </w:tcPr>
          <w:p w:rsidR="00422651" w:rsidRPr="007E0238" w:rsidRDefault="00422651"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Spearman p</w:t>
            </w:r>
          </w:p>
        </w:tc>
        <w:tc>
          <w:tcPr>
            <w:tcW w:w="1997" w:type="dxa"/>
          </w:tcPr>
          <w:p w:rsidR="00422651" w:rsidRPr="007E0238" w:rsidRDefault="00373097" w:rsidP="005D52DE">
            <w:pPr>
              <w:jc w:val="center"/>
              <w:rPr>
                <w:rFonts w:ascii="Times New Roman" w:hAnsi="Times New Roman" w:cs="Times New Roman"/>
                <w:sz w:val="24"/>
                <w:szCs w:val="26"/>
                <w:lang w:val="en-US"/>
              </w:rPr>
            </w:pPr>
            <w:r w:rsidRPr="007E0238">
              <w:rPr>
                <w:rFonts w:ascii="Times New Roman" w:hAnsi="Times New Roman" w:cs="Times New Roman"/>
                <w:sz w:val="24"/>
                <w:szCs w:val="26"/>
                <w:lang w:val="en-US"/>
              </w:rPr>
              <w:t>&lt;0.0001</w:t>
            </w:r>
          </w:p>
        </w:tc>
      </w:tr>
    </w:tbl>
    <w:p w:rsidR="00E13350" w:rsidRDefault="00E13350" w:rsidP="0054615C">
      <w:pPr>
        <w:rPr>
          <w:rFonts w:cstheme="minorHAnsi"/>
          <w:szCs w:val="26"/>
          <w:lang w:val="en-US"/>
        </w:rPr>
      </w:pPr>
    </w:p>
    <w:p w:rsidR="00243868" w:rsidRPr="00982EEC" w:rsidRDefault="00982EEC" w:rsidP="0054615C">
      <w:pPr>
        <w:rPr>
          <w:rFonts w:cstheme="minorHAnsi"/>
          <w:szCs w:val="26"/>
          <w:lang w:val="en-US"/>
        </w:rPr>
      </w:pPr>
      <w:r>
        <w:rPr>
          <w:rFonts w:cstheme="minorHAnsi"/>
          <w:szCs w:val="26"/>
          <w:lang w:val="en-US"/>
        </w:rPr>
        <w:t>The Pearson correlation is small but statistically significant at the 1% level. However, the coefficient of determination (r</w:t>
      </w:r>
      <w:r>
        <w:rPr>
          <w:rFonts w:cstheme="minorHAnsi"/>
          <w:szCs w:val="26"/>
          <w:vertAlign w:val="superscript"/>
          <w:lang w:val="en-US"/>
        </w:rPr>
        <w:t>2</w:t>
      </w:r>
      <w:r>
        <w:rPr>
          <w:rFonts w:cstheme="minorHAnsi"/>
          <w:szCs w:val="26"/>
          <w:lang w:val="en-US"/>
        </w:rPr>
        <w:t>=0.015) indicates that digital orientation explains only 1.5% of the variance in ESG ratings. The substantially larger Spearman correlation (ρ=0.339) suggests the presence of non-linearities or outliers driving the relationship.</w:t>
      </w:r>
    </w:p>
    <w:p w:rsidR="00982EEC" w:rsidRPr="00243868" w:rsidRDefault="00243868" w:rsidP="0054615C">
      <w:pPr>
        <w:rPr>
          <w:rFonts w:ascii="Times New Roman" w:hAnsi="Times New Roman" w:cs="Times New Roman"/>
          <w:sz w:val="24"/>
          <w:szCs w:val="26"/>
          <w:lang w:val="en-US"/>
        </w:rPr>
      </w:pPr>
      <w:r w:rsidRPr="00243868">
        <w:rPr>
          <w:rFonts w:ascii="Times New Roman" w:hAnsi="Times New Roman" w:cs="Times New Roman"/>
          <w:sz w:val="24"/>
          <w:szCs w:val="26"/>
          <w:lang w:val="en-US"/>
        </w:rPr>
        <w:t>4.2.2 Baseline Regression (Model 1)</w:t>
      </w:r>
    </w:p>
    <w:p w:rsidR="00982EEC" w:rsidRDefault="00982EEC" w:rsidP="0054615C">
      <w:pPr>
        <w:rPr>
          <w:rFonts w:ascii="Times New Roman" w:hAnsi="Times New Roman" w:cs="Times New Roman"/>
          <w:szCs w:val="26"/>
          <w:lang w:val="en-US"/>
        </w:rPr>
      </w:pP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243868" w:rsidTr="00243868">
        <w:tc>
          <w:tcPr>
            <w:tcW w:w="1742" w:type="dxa"/>
          </w:tcPr>
          <w:p w:rsidR="00243868" w:rsidRPr="002B2007" w:rsidRDefault="002B2007" w:rsidP="0054615C">
            <w:pPr>
              <w:rPr>
                <w:rFonts w:ascii="Times New Roman" w:hAnsi="Times New Roman" w:cs="Times New Roman"/>
                <w:sz w:val="24"/>
                <w:szCs w:val="26"/>
                <w:lang w:val="en-US"/>
              </w:rPr>
            </w:pPr>
            <w:r>
              <w:rPr>
                <w:rFonts w:ascii="Times New Roman" w:hAnsi="Times New Roman" w:cs="Times New Roman"/>
                <w:sz w:val="24"/>
                <w:szCs w:val="26"/>
                <w:lang w:val="en-US"/>
              </w:rPr>
              <w:t>Variable</w:t>
            </w:r>
          </w:p>
        </w:tc>
        <w:tc>
          <w:tcPr>
            <w:tcW w:w="1742" w:type="dxa"/>
          </w:tcPr>
          <w:p w:rsidR="00243868" w:rsidRPr="002B2007" w:rsidRDefault="002B2007" w:rsidP="0054615C">
            <w:pPr>
              <w:rPr>
                <w:rFonts w:ascii="Times New Roman" w:hAnsi="Times New Roman" w:cs="Times New Roman"/>
                <w:sz w:val="24"/>
                <w:szCs w:val="26"/>
                <w:lang w:val="en-US"/>
              </w:rPr>
            </w:pPr>
            <w:r w:rsidRPr="002B2007">
              <w:rPr>
                <w:rFonts w:ascii="Times New Roman" w:hAnsi="Times New Roman" w:cs="Times New Roman"/>
                <w:sz w:val="24"/>
                <w:szCs w:val="26"/>
                <w:lang w:val="en-US"/>
              </w:rPr>
              <w:t>Coefficient</w:t>
            </w:r>
          </w:p>
        </w:tc>
        <w:tc>
          <w:tcPr>
            <w:tcW w:w="1743" w:type="dxa"/>
          </w:tcPr>
          <w:p w:rsidR="00243868" w:rsidRPr="002B2007" w:rsidRDefault="002B2007" w:rsidP="0054615C">
            <w:pPr>
              <w:rPr>
                <w:rFonts w:ascii="Times New Roman" w:hAnsi="Times New Roman" w:cs="Times New Roman"/>
                <w:sz w:val="24"/>
                <w:szCs w:val="26"/>
                <w:lang w:val="en-US"/>
              </w:rPr>
            </w:pPr>
            <w:r w:rsidRPr="002B2007">
              <w:rPr>
                <w:rFonts w:ascii="Times New Roman" w:hAnsi="Times New Roman" w:cs="Times New Roman"/>
                <w:sz w:val="24"/>
                <w:szCs w:val="26"/>
                <w:lang w:val="en-US"/>
              </w:rPr>
              <w:t>Std. Error</w:t>
            </w:r>
          </w:p>
        </w:tc>
        <w:tc>
          <w:tcPr>
            <w:tcW w:w="1743" w:type="dxa"/>
          </w:tcPr>
          <w:p w:rsidR="00243868" w:rsidRPr="002B2007" w:rsidRDefault="002B2007" w:rsidP="0054615C">
            <w:pPr>
              <w:rPr>
                <w:rFonts w:ascii="Times New Roman" w:hAnsi="Times New Roman" w:cs="Times New Roman"/>
                <w:sz w:val="24"/>
                <w:szCs w:val="26"/>
                <w:lang w:val="en-US"/>
              </w:rPr>
            </w:pPr>
            <w:r w:rsidRPr="002B2007">
              <w:rPr>
                <w:rFonts w:ascii="Times New Roman" w:hAnsi="Times New Roman" w:cs="Times New Roman"/>
                <w:sz w:val="24"/>
                <w:szCs w:val="26"/>
                <w:lang w:val="en-US"/>
              </w:rPr>
              <w:t>t-statistic</w:t>
            </w:r>
          </w:p>
        </w:tc>
        <w:tc>
          <w:tcPr>
            <w:tcW w:w="1743" w:type="dxa"/>
          </w:tcPr>
          <w:p w:rsidR="00243868" w:rsidRPr="002B2007" w:rsidRDefault="002B2007" w:rsidP="0054615C">
            <w:pPr>
              <w:rPr>
                <w:rFonts w:ascii="Times New Roman" w:hAnsi="Times New Roman" w:cs="Times New Roman"/>
                <w:sz w:val="24"/>
                <w:szCs w:val="26"/>
                <w:lang w:val="en-US"/>
              </w:rPr>
            </w:pPr>
            <w:r w:rsidRPr="002B2007">
              <w:rPr>
                <w:rFonts w:ascii="Times New Roman" w:hAnsi="Times New Roman" w:cs="Times New Roman"/>
                <w:sz w:val="24"/>
                <w:szCs w:val="26"/>
                <w:lang w:val="en-US"/>
              </w:rPr>
              <w:t xml:space="preserve">p-value </w:t>
            </w:r>
          </w:p>
        </w:tc>
        <w:tc>
          <w:tcPr>
            <w:tcW w:w="1743" w:type="dxa"/>
          </w:tcPr>
          <w:p w:rsidR="00243868" w:rsidRPr="002B2007" w:rsidRDefault="002B2007" w:rsidP="0054615C">
            <w:pPr>
              <w:rPr>
                <w:rFonts w:ascii="Times New Roman" w:hAnsi="Times New Roman" w:cs="Times New Roman"/>
                <w:sz w:val="24"/>
                <w:szCs w:val="26"/>
                <w:lang w:val="en-US"/>
              </w:rPr>
            </w:pPr>
            <w:r w:rsidRPr="002B2007">
              <w:rPr>
                <w:rFonts w:ascii="Times New Roman" w:hAnsi="Times New Roman" w:cs="Times New Roman"/>
                <w:sz w:val="24"/>
                <w:szCs w:val="26"/>
                <w:lang w:val="en-US"/>
              </w:rPr>
              <w:t>95% CI</w:t>
            </w:r>
          </w:p>
        </w:tc>
      </w:tr>
      <w:tr w:rsidR="00243868" w:rsidTr="002B2007">
        <w:trPr>
          <w:trHeight w:val="530"/>
        </w:trPr>
        <w:tc>
          <w:tcPr>
            <w:tcW w:w="1742" w:type="dxa"/>
          </w:tcPr>
          <w:p w:rsidR="00243868" w:rsidRPr="002B2007" w:rsidRDefault="002B2007" w:rsidP="0054615C">
            <w:pPr>
              <w:rPr>
                <w:rFonts w:ascii="Times New Roman" w:hAnsi="Times New Roman" w:cs="Times New Roman"/>
                <w:szCs w:val="26"/>
                <w:lang w:val="en-US"/>
              </w:rPr>
            </w:pPr>
            <w:r w:rsidRPr="002B2007">
              <w:rPr>
                <w:rFonts w:ascii="Times New Roman" w:hAnsi="Times New Roman" w:cs="Times New Roman"/>
                <w:sz w:val="24"/>
                <w:szCs w:val="26"/>
                <w:lang w:val="en-US"/>
              </w:rPr>
              <w:t>Intercept (β</w:t>
            </w:r>
            <w:r w:rsidRPr="002B2007">
              <w:rPr>
                <w:rFonts w:ascii="Times New Roman" w:hAnsi="Times New Roman" w:cs="Times New Roman"/>
                <w:sz w:val="24"/>
                <w:szCs w:val="26"/>
                <w:vertAlign w:val="subscript"/>
                <w:lang w:val="en-US"/>
              </w:rPr>
              <w:t>0</w:t>
            </w:r>
            <w:r w:rsidRPr="002B2007">
              <w:rPr>
                <w:rFonts w:ascii="Times New Roman" w:hAnsi="Times New Roman" w:cs="Times New Roman"/>
                <w:sz w:val="24"/>
                <w:szCs w:val="26"/>
                <w:lang w:val="en-US"/>
              </w:rPr>
              <w:t>)</w:t>
            </w:r>
          </w:p>
        </w:tc>
        <w:tc>
          <w:tcPr>
            <w:tcW w:w="1742" w:type="dxa"/>
          </w:tcPr>
          <w:p w:rsidR="00243868" w:rsidRDefault="002B2007" w:rsidP="0054615C">
            <w:pPr>
              <w:rPr>
                <w:rFonts w:ascii="Times New Roman" w:hAnsi="Times New Roman" w:cs="Times New Roman"/>
                <w:szCs w:val="26"/>
                <w:lang w:val="en-US"/>
              </w:rPr>
            </w:pPr>
            <w:r w:rsidRPr="00922213">
              <w:rPr>
                <w:rFonts w:ascii="Times New Roman" w:hAnsi="Times New Roman" w:cs="Times New Roman"/>
                <w:sz w:val="24"/>
                <w:szCs w:val="26"/>
                <w:lang w:val="en-US"/>
              </w:rPr>
              <w:t>56.882</w:t>
            </w:r>
          </w:p>
        </w:tc>
        <w:tc>
          <w:tcPr>
            <w:tcW w:w="1743" w:type="dxa"/>
          </w:tcPr>
          <w:p w:rsidR="00243868" w:rsidRPr="00922213" w:rsidRDefault="002B2007" w:rsidP="0054615C">
            <w:pPr>
              <w:rPr>
                <w:rFonts w:ascii="Times New Roman" w:hAnsi="Times New Roman" w:cs="Times New Roman"/>
                <w:sz w:val="24"/>
                <w:szCs w:val="26"/>
                <w:lang w:val="en-US"/>
              </w:rPr>
            </w:pPr>
            <w:r w:rsidRPr="00922213">
              <w:rPr>
                <w:rFonts w:ascii="Times New Roman" w:hAnsi="Times New Roman" w:cs="Times New Roman"/>
                <w:sz w:val="24"/>
                <w:szCs w:val="26"/>
                <w:lang w:val="en-US"/>
              </w:rPr>
              <w:t>0.453</w:t>
            </w:r>
          </w:p>
        </w:tc>
        <w:tc>
          <w:tcPr>
            <w:tcW w:w="1743" w:type="dxa"/>
          </w:tcPr>
          <w:p w:rsidR="00243868" w:rsidRPr="00922213" w:rsidRDefault="002B2007" w:rsidP="0054615C">
            <w:pPr>
              <w:rPr>
                <w:rFonts w:ascii="Times New Roman" w:hAnsi="Times New Roman" w:cs="Times New Roman"/>
                <w:sz w:val="24"/>
                <w:szCs w:val="26"/>
                <w:lang w:val="en-US"/>
              </w:rPr>
            </w:pPr>
            <w:r w:rsidRPr="00922213">
              <w:rPr>
                <w:rFonts w:ascii="Times New Roman" w:hAnsi="Times New Roman" w:cs="Times New Roman"/>
                <w:sz w:val="24"/>
                <w:szCs w:val="26"/>
                <w:lang w:val="en-US"/>
              </w:rPr>
              <w:t>125.54</w:t>
            </w:r>
          </w:p>
        </w:tc>
        <w:tc>
          <w:tcPr>
            <w:tcW w:w="1743" w:type="dxa"/>
          </w:tcPr>
          <w:p w:rsidR="00243868" w:rsidRPr="00922213" w:rsidRDefault="002B2007" w:rsidP="0054615C">
            <w:pPr>
              <w:rPr>
                <w:rFonts w:ascii="Times New Roman" w:hAnsi="Times New Roman" w:cs="Times New Roman"/>
                <w:sz w:val="24"/>
                <w:szCs w:val="26"/>
                <w:lang w:val="en-US"/>
              </w:rPr>
            </w:pPr>
            <w:r w:rsidRPr="00922213">
              <w:rPr>
                <w:rFonts w:ascii="Times New Roman" w:hAnsi="Times New Roman" w:cs="Times New Roman"/>
                <w:sz w:val="24"/>
                <w:szCs w:val="26"/>
                <w:lang w:val="en-US"/>
              </w:rPr>
              <w:t>&lt;0.001</w:t>
            </w:r>
          </w:p>
        </w:tc>
        <w:tc>
          <w:tcPr>
            <w:tcW w:w="1743" w:type="dxa"/>
          </w:tcPr>
          <w:p w:rsidR="00243868" w:rsidRPr="00922213" w:rsidRDefault="002B2007" w:rsidP="0054615C">
            <w:pPr>
              <w:rPr>
                <w:rFonts w:ascii="Times New Roman" w:hAnsi="Times New Roman" w:cs="Times New Roman"/>
                <w:sz w:val="24"/>
                <w:szCs w:val="26"/>
                <w:lang w:val="en-US"/>
              </w:rPr>
            </w:pPr>
            <w:r w:rsidRPr="00922213">
              <w:rPr>
                <w:rFonts w:ascii="Times New Roman" w:hAnsi="Times New Roman" w:cs="Times New Roman"/>
                <w:sz w:val="24"/>
                <w:szCs w:val="26"/>
                <w:lang w:val="en-US"/>
              </w:rPr>
              <w:t>[55.99,57.77]</w:t>
            </w:r>
          </w:p>
        </w:tc>
      </w:tr>
      <w:tr w:rsidR="00243868" w:rsidTr="002B2007">
        <w:trPr>
          <w:trHeight w:val="564"/>
        </w:trPr>
        <w:tc>
          <w:tcPr>
            <w:tcW w:w="1742" w:type="dxa"/>
          </w:tcPr>
          <w:p w:rsidR="00243868" w:rsidRPr="002B2007" w:rsidRDefault="002B2007" w:rsidP="0054615C">
            <w:pPr>
              <w:rPr>
                <w:rFonts w:ascii="Times New Roman" w:hAnsi="Times New Roman" w:cs="Times New Roman"/>
                <w:sz w:val="24"/>
                <w:szCs w:val="26"/>
                <w:lang w:val="en-US"/>
              </w:rPr>
            </w:pPr>
            <w:r w:rsidRPr="002B2007">
              <w:rPr>
                <w:rFonts w:ascii="Times New Roman" w:hAnsi="Times New Roman" w:cs="Times New Roman"/>
                <w:sz w:val="24"/>
                <w:szCs w:val="26"/>
                <w:lang w:val="en-US"/>
              </w:rPr>
              <w:lastRenderedPageBreak/>
              <w:t>DO Score (β</w:t>
            </w:r>
            <w:r w:rsidRPr="002B2007">
              <w:rPr>
                <w:rFonts w:ascii="Times New Roman" w:hAnsi="Times New Roman" w:cs="Times New Roman"/>
                <w:sz w:val="24"/>
                <w:szCs w:val="26"/>
                <w:vertAlign w:val="subscript"/>
                <w:lang w:val="en-US"/>
              </w:rPr>
              <w:t>1</w:t>
            </w:r>
            <w:r w:rsidRPr="002B2007">
              <w:rPr>
                <w:rFonts w:ascii="Times New Roman" w:hAnsi="Times New Roman" w:cs="Times New Roman"/>
                <w:sz w:val="24"/>
                <w:szCs w:val="26"/>
                <w:lang w:val="en-US"/>
              </w:rPr>
              <w:t xml:space="preserve">) </w:t>
            </w:r>
          </w:p>
        </w:tc>
        <w:tc>
          <w:tcPr>
            <w:tcW w:w="1742" w:type="dxa"/>
          </w:tcPr>
          <w:p w:rsidR="00243868" w:rsidRDefault="002B2007" w:rsidP="0054615C">
            <w:pPr>
              <w:rPr>
                <w:rFonts w:ascii="Times New Roman" w:hAnsi="Times New Roman" w:cs="Times New Roman"/>
                <w:szCs w:val="26"/>
                <w:lang w:val="en-US"/>
              </w:rPr>
            </w:pPr>
            <w:r w:rsidRPr="00922213">
              <w:rPr>
                <w:rFonts w:ascii="Times New Roman" w:hAnsi="Times New Roman" w:cs="Times New Roman"/>
                <w:sz w:val="24"/>
                <w:szCs w:val="26"/>
                <w:lang w:val="en-US"/>
              </w:rPr>
              <w:t>0.145</w:t>
            </w:r>
          </w:p>
        </w:tc>
        <w:tc>
          <w:tcPr>
            <w:tcW w:w="1743" w:type="dxa"/>
          </w:tcPr>
          <w:p w:rsidR="00243868" w:rsidRPr="00922213" w:rsidRDefault="002B2007" w:rsidP="0054615C">
            <w:pPr>
              <w:rPr>
                <w:rFonts w:ascii="Times New Roman" w:hAnsi="Times New Roman" w:cs="Times New Roman"/>
                <w:sz w:val="24"/>
                <w:szCs w:val="26"/>
                <w:lang w:val="en-US"/>
              </w:rPr>
            </w:pPr>
            <w:r w:rsidRPr="00922213">
              <w:rPr>
                <w:rFonts w:ascii="Times New Roman" w:hAnsi="Times New Roman" w:cs="Times New Roman"/>
                <w:sz w:val="24"/>
                <w:szCs w:val="26"/>
                <w:lang w:val="en-US"/>
              </w:rPr>
              <w:t>0.056</w:t>
            </w:r>
          </w:p>
        </w:tc>
        <w:tc>
          <w:tcPr>
            <w:tcW w:w="1743" w:type="dxa"/>
          </w:tcPr>
          <w:p w:rsidR="00243868" w:rsidRPr="00922213" w:rsidRDefault="00913D1D" w:rsidP="0054615C">
            <w:pPr>
              <w:rPr>
                <w:rFonts w:ascii="Times New Roman" w:hAnsi="Times New Roman" w:cs="Times New Roman"/>
                <w:sz w:val="24"/>
                <w:szCs w:val="26"/>
                <w:lang w:val="en-US"/>
              </w:rPr>
            </w:pPr>
            <w:r w:rsidRPr="00922213">
              <w:rPr>
                <w:rFonts w:ascii="Times New Roman" w:hAnsi="Times New Roman" w:cs="Times New Roman"/>
                <w:sz w:val="24"/>
                <w:szCs w:val="26"/>
                <w:lang w:val="en-US"/>
              </w:rPr>
              <w:t>2.595</w:t>
            </w:r>
          </w:p>
        </w:tc>
        <w:tc>
          <w:tcPr>
            <w:tcW w:w="1743" w:type="dxa"/>
          </w:tcPr>
          <w:p w:rsidR="00243868" w:rsidRPr="00922213" w:rsidRDefault="00913D1D" w:rsidP="0054615C">
            <w:pPr>
              <w:rPr>
                <w:rFonts w:ascii="Times New Roman" w:hAnsi="Times New Roman" w:cs="Times New Roman"/>
                <w:sz w:val="24"/>
                <w:szCs w:val="26"/>
                <w:lang w:val="en-US"/>
              </w:rPr>
            </w:pPr>
            <w:r w:rsidRPr="00922213">
              <w:rPr>
                <w:rFonts w:ascii="Times New Roman" w:hAnsi="Times New Roman" w:cs="Times New Roman"/>
                <w:sz w:val="24"/>
                <w:szCs w:val="26"/>
                <w:lang w:val="en-US"/>
              </w:rPr>
              <w:t>0.010</w:t>
            </w:r>
          </w:p>
        </w:tc>
        <w:tc>
          <w:tcPr>
            <w:tcW w:w="1743" w:type="dxa"/>
          </w:tcPr>
          <w:p w:rsidR="00243868" w:rsidRPr="00922213" w:rsidRDefault="00913D1D" w:rsidP="0054615C">
            <w:pPr>
              <w:rPr>
                <w:rFonts w:ascii="Times New Roman" w:hAnsi="Times New Roman" w:cs="Times New Roman"/>
                <w:sz w:val="24"/>
                <w:szCs w:val="26"/>
                <w:lang w:val="en-US"/>
              </w:rPr>
            </w:pPr>
            <w:r w:rsidRPr="00922213">
              <w:rPr>
                <w:rFonts w:ascii="Times New Roman" w:hAnsi="Times New Roman" w:cs="Times New Roman"/>
                <w:sz w:val="24"/>
                <w:szCs w:val="26"/>
                <w:lang w:val="en-US"/>
              </w:rPr>
              <w:t>[0.035,0.255]</w:t>
            </w:r>
          </w:p>
        </w:tc>
      </w:tr>
    </w:tbl>
    <w:p w:rsidR="00982EEC" w:rsidRDefault="007E0D22" w:rsidP="0054615C">
      <w:pPr>
        <w:rPr>
          <w:rFonts w:cstheme="minorHAnsi"/>
          <w:szCs w:val="26"/>
          <w:lang w:val="en-US"/>
        </w:rPr>
      </w:pPr>
      <w:r>
        <w:rPr>
          <w:rFonts w:cstheme="minorHAnsi"/>
          <w:szCs w:val="26"/>
          <w:lang w:val="en-US"/>
        </w:rPr>
        <w:t>Model fit: R</w:t>
      </w:r>
      <w:r>
        <w:rPr>
          <w:rFonts w:cstheme="minorHAnsi"/>
          <w:szCs w:val="26"/>
          <w:vertAlign w:val="superscript"/>
          <w:lang w:val="en-US"/>
        </w:rPr>
        <w:t>2</w:t>
      </w:r>
      <w:r>
        <w:rPr>
          <w:rFonts w:cstheme="minorHAnsi"/>
          <w:szCs w:val="26"/>
          <w:lang w:val="en-US"/>
        </w:rPr>
        <w:t>=0.</w:t>
      </w:r>
      <w:proofErr w:type="gramStart"/>
      <w:r>
        <w:rPr>
          <w:rFonts w:cstheme="minorHAnsi"/>
          <w:szCs w:val="26"/>
          <w:lang w:val="en-US"/>
        </w:rPr>
        <w:t>0152</w:t>
      </w:r>
      <w:r w:rsidR="000A1939">
        <w:rPr>
          <w:rFonts w:cstheme="minorHAnsi"/>
          <w:szCs w:val="26"/>
          <w:lang w:val="en-US"/>
        </w:rPr>
        <w:t xml:space="preserve">,  </w:t>
      </w:r>
      <w:r>
        <w:rPr>
          <w:rFonts w:cstheme="minorHAnsi"/>
          <w:szCs w:val="26"/>
          <w:lang w:val="en-US"/>
        </w:rPr>
        <w:t>Adjusted</w:t>
      </w:r>
      <w:proofErr w:type="gramEnd"/>
      <w:r>
        <w:rPr>
          <w:rFonts w:cstheme="minorHAnsi"/>
          <w:szCs w:val="26"/>
          <w:lang w:val="en-US"/>
        </w:rPr>
        <w:t xml:space="preserve"> R</w:t>
      </w:r>
      <w:r>
        <w:rPr>
          <w:rFonts w:cstheme="minorHAnsi"/>
          <w:szCs w:val="26"/>
          <w:vertAlign w:val="superscript"/>
          <w:lang w:val="en-US"/>
        </w:rPr>
        <w:t>2</w:t>
      </w:r>
      <w:r>
        <w:rPr>
          <w:rFonts w:cstheme="minorHAnsi"/>
          <w:szCs w:val="26"/>
          <w:lang w:val="en-US"/>
        </w:rPr>
        <w:t xml:space="preserve">=0.0130, </w:t>
      </w:r>
      <w:r w:rsidR="000A1939">
        <w:rPr>
          <w:rFonts w:cstheme="minorHAnsi"/>
          <w:szCs w:val="26"/>
          <w:lang w:val="en-US"/>
        </w:rPr>
        <w:t xml:space="preserve">  </w:t>
      </w:r>
      <w:r>
        <w:rPr>
          <w:rFonts w:cstheme="minorHAnsi"/>
          <w:szCs w:val="26"/>
          <w:lang w:val="en-US"/>
        </w:rPr>
        <w:t>F(1,435)=6.735,</w:t>
      </w:r>
      <w:r w:rsidR="000A1939">
        <w:rPr>
          <w:rFonts w:cstheme="minorHAnsi"/>
          <w:szCs w:val="26"/>
          <w:lang w:val="en-US"/>
        </w:rPr>
        <w:t xml:space="preserve">  </w:t>
      </w:r>
      <w:r>
        <w:rPr>
          <w:rFonts w:cstheme="minorHAnsi"/>
          <w:szCs w:val="26"/>
          <w:lang w:val="en-US"/>
        </w:rPr>
        <w:t xml:space="preserve"> p=0.0098,</w:t>
      </w:r>
      <w:r w:rsidR="000A1939">
        <w:rPr>
          <w:rFonts w:cstheme="minorHAnsi"/>
          <w:szCs w:val="26"/>
          <w:lang w:val="en-US"/>
        </w:rPr>
        <w:t xml:space="preserve"> </w:t>
      </w:r>
      <w:r>
        <w:rPr>
          <w:rFonts w:cstheme="minorHAnsi"/>
          <w:szCs w:val="26"/>
          <w:lang w:val="en-US"/>
        </w:rPr>
        <w:t xml:space="preserve"> AIC= 2773.49, </w:t>
      </w:r>
      <w:r w:rsidR="000A1939">
        <w:rPr>
          <w:rFonts w:cstheme="minorHAnsi"/>
          <w:szCs w:val="26"/>
          <w:lang w:val="en-US"/>
        </w:rPr>
        <w:t xml:space="preserve"> </w:t>
      </w:r>
      <w:r>
        <w:rPr>
          <w:rFonts w:cstheme="minorHAnsi"/>
          <w:szCs w:val="26"/>
          <w:lang w:val="en-US"/>
        </w:rPr>
        <w:t>BIC=2781.65</w:t>
      </w:r>
    </w:p>
    <w:p w:rsidR="001C4436" w:rsidRDefault="009B6E6A" w:rsidP="0054615C">
      <w:pPr>
        <w:rPr>
          <w:rFonts w:cstheme="minorHAnsi"/>
          <w:szCs w:val="26"/>
          <w:lang w:val="en-US"/>
        </w:rPr>
      </w:pPr>
      <w:r>
        <w:rPr>
          <w:rFonts w:cstheme="minorHAnsi"/>
          <w:szCs w:val="26"/>
          <w:lang w:val="en-US"/>
        </w:rPr>
        <w:t>In the unadjusted model, DO Score is a statistically significant predictor of ESG Rating. The coefficient of 0.145 implies that a one-unit increases in DO Score is associated with a 0.145 point increase in ESG Rating. To put this in perspective, moving from the medi</w:t>
      </w:r>
      <w:r w:rsidR="00D40439">
        <w:rPr>
          <w:rFonts w:cstheme="minorHAnsi"/>
          <w:szCs w:val="26"/>
          <w:lang w:val="en-US"/>
        </w:rPr>
        <w:t>a</w:t>
      </w:r>
      <w:r>
        <w:rPr>
          <w:rFonts w:cstheme="minorHAnsi"/>
          <w:szCs w:val="26"/>
          <w:lang w:val="en-US"/>
        </w:rPr>
        <w:t>n DO Score (5.08) to the 90</w:t>
      </w:r>
      <w:r w:rsidRPr="009B6E6A">
        <w:rPr>
          <w:rFonts w:cstheme="minorHAnsi"/>
          <w:szCs w:val="26"/>
          <w:vertAlign w:val="superscript"/>
          <w:lang w:val="en-US"/>
        </w:rPr>
        <w:t>th</w:t>
      </w:r>
      <w:r>
        <w:rPr>
          <w:rFonts w:cstheme="minorHAnsi"/>
          <w:szCs w:val="26"/>
          <w:lang w:val="en-US"/>
        </w:rPr>
        <w:t xml:space="preserve"> percentile (approximately 12.0) would predict an ESG increase o roughly 1.0 point, a trivial magnitude given the ESG scale range of 36 points (41-77). The model explains virtually none of the</w:t>
      </w:r>
      <w:r w:rsidR="00D40439">
        <w:rPr>
          <w:rFonts w:cstheme="minorHAnsi"/>
          <w:szCs w:val="26"/>
          <w:lang w:val="en-US"/>
        </w:rPr>
        <w:t xml:space="preserve"> variance in ESG rating (R</w:t>
      </w:r>
      <w:r w:rsidR="00D40439">
        <w:rPr>
          <w:rFonts w:cstheme="minorHAnsi"/>
          <w:szCs w:val="26"/>
          <w:vertAlign w:val="superscript"/>
          <w:lang w:val="en-US"/>
        </w:rPr>
        <w:t>2</w:t>
      </w:r>
      <w:r w:rsidR="00D40439">
        <w:rPr>
          <w:rFonts w:cstheme="minorHAnsi"/>
          <w:szCs w:val="26"/>
          <w:lang w:val="en-US"/>
        </w:rPr>
        <w:t>=0.015).</w:t>
      </w:r>
    </w:p>
    <w:p w:rsidR="001C4436" w:rsidRDefault="001C4436" w:rsidP="0054615C">
      <w:pPr>
        <w:rPr>
          <w:rFonts w:cstheme="minorHAnsi"/>
          <w:szCs w:val="26"/>
          <w:lang w:val="en-US"/>
        </w:rPr>
      </w:pPr>
    </w:p>
    <w:p w:rsidR="001C4436" w:rsidRDefault="001C4436" w:rsidP="0054615C">
      <w:pPr>
        <w:rPr>
          <w:rFonts w:ascii="Times New Roman" w:hAnsi="Times New Roman" w:cs="Times New Roman"/>
          <w:sz w:val="24"/>
          <w:szCs w:val="26"/>
          <w:lang w:val="en-US"/>
        </w:rPr>
      </w:pPr>
      <w:r>
        <w:rPr>
          <w:rFonts w:ascii="Times New Roman" w:hAnsi="Times New Roman" w:cs="Times New Roman"/>
          <w:sz w:val="24"/>
          <w:szCs w:val="26"/>
          <w:lang w:val="en-US"/>
        </w:rPr>
        <w:t>4.2.3 Industry Fixed Effects Regression (Model 2)</w:t>
      </w:r>
    </w:p>
    <w:tbl>
      <w:tblPr>
        <w:tblStyle w:val="TableGrid"/>
        <w:tblW w:w="0" w:type="auto"/>
        <w:tblInd w:w="1271" w:type="dxa"/>
        <w:tblLook w:val="04A0" w:firstRow="1" w:lastRow="0" w:firstColumn="1" w:lastColumn="0" w:noHBand="0" w:noVBand="1"/>
      </w:tblPr>
      <w:tblGrid>
        <w:gridCol w:w="2136"/>
        <w:gridCol w:w="1907"/>
        <w:gridCol w:w="1775"/>
        <w:gridCol w:w="1828"/>
        <w:gridCol w:w="957"/>
      </w:tblGrid>
      <w:tr w:rsidR="001C4436" w:rsidTr="001335F4">
        <w:tc>
          <w:tcPr>
            <w:tcW w:w="1896" w:type="dxa"/>
          </w:tcPr>
          <w:p w:rsidR="001C4436" w:rsidRDefault="001C4436"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Variable</w:t>
            </w:r>
          </w:p>
        </w:tc>
        <w:tc>
          <w:tcPr>
            <w:tcW w:w="1907" w:type="dxa"/>
          </w:tcPr>
          <w:p w:rsidR="001C4436" w:rsidRDefault="001C4436"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Coefficient</w:t>
            </w:r>
          </w:p>
        </w:tc>
        <w:tc>
          <w:tcPr>
            <w:tcW w:w="1775" w:type="dxa"/>
          </w:tcPr>
          <w:p w:rsidR="001C4436" w:rsidRDefault="001C4436"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Std. Error</w:t>
            </w:r>
          </w:p>
        </w:tc>
        <w:tc>
          <w:tcPr>
            <w:tcW w:w="1828"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t-statistic</w:t>
            </w:r>
          </w:p>
        </w:tc>
        <w:tc>
          <w:tcPr>
            <w:tcW w:w="957"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p-value</w:t>
            </w:r>
          </w:p>
        </w:tc>
      </w:tr>
      <w:tr w:rsidR="001C4436" w:rsidTr="001335F4">
        <w:trPr>
          <w:trHeight w:val="400"/>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Intercept</w:t>
            </w:r>
          </w:p>
        </w:tc>
        <w:tc>
          <w:tcPr>
            <w:tcW w:w="1907"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58.342</w:t>
            </w:r>
          </w:p>
        </w:tc>
        <w:tc>
          <w:tcPr>
            <w:tcW w:w="1775"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0.888</w:t>
            </w:r>
          </w:p>
        </w:tc>
        <w:tc>
          <w:tcPr>
            <w:tcW w:w="1828"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65.73</w:t>
            </w:r>
          </w:p>
        </w:tc>
        <w:tc>
          <w:tcPr>
            <w:tcW w:w="957"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&lt;0.001</w:t>
            </w:r>
          </w:p>
        </w:tc>
      </w:tr>
      <w:tr w:rsidR="001C4436" w:rsidTr="001335F4">
        <w:trPr>
          <w:trHeight w:val="562"/>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DO Score</w:t>
            </w:r>
          </w:p>
        </w:tc>
        <w:tc>
          <w:tcPr>
            <w:tcW w:w="190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0.043</w:t>
            </w:r>
          </w:p>
        </w:tc>
        <w:tc>
          <w:tcPr>
            <w:tcW w:w="1775"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0.046</w:t>
            </w:r>
          </w:p>
        </w:tc>
        <w:tc>
          <w:tcPr>
            <w:tcW w:w="1828"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0.931</w:t>
            </w:r>
          </w:p>
        </w:tc>
        <w:tc>
          <w:tcPr>
            <w:tcW w:w="95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0.353</w:t>
            </w:r>
          </w:p>
        </w:tc>
      </w:tr>
      <w:tr w:rsidR="001C4436" w:rsidTr="001335F4">
        <w:trPr>
          <w:trHeight w:val="416"/>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Capital Goods</w:t>
            </w:r>
          </w:p>
        </w:tc>
        <w:tc>
          <w:tcPr>
            <w:tcW w:w="190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-3.687</w:t>
            </w:r>
          </w:p>
        </w:tc>
        <w:tc>
          <w:tcPr>
            <w:tcW w:w="1775"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1.041</w:t>
            </w:r>
          </w:p>
        </w:tc>
        <w:tc>
          <w:tcPr>
            <w:tcW w:w="1828"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-3.54</w:t>
            </w:r>
          </w:p>
        </w:tc>
        <w:tc>
          <w:tcPr>
            <w:tcW w:w="95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&lt;0.001</w:t>
            </w:r>
          </w:p>
        </w:tc>
      </w:tr>
      <w:tr w:rsidR="001C4436" w:rsidTr="001335F4">
        <w:trPr>
          <w:trHeight w:val="415"/>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Chemicals</w:t>
            </w:r>
          </w:p>
        </w:tc>
        <w:tc>
          <w:tcPr>
            <w:tcW w:w="190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-6.062</w:t>
            </w:r>
          </w:p>
        </w:tc>
        <w:tc>
          <w:tcPr>
            <w:tcW w:w="1775"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1.200</w:t>
            </w:r>
          </w:p>
        </w:tc>
        <w:tc>
          <w:tcPr>
            <w:tcW w:w="1828"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-5.05</w:t>
            </w:r>
          </w:p>
        </w:tc>
        <w:tc>
          <w:tcPr>
            <w:tcW w:w="95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&lt;0.001</w:t>
            </w:r>
          </w:p>
        </w:tc>
      </w:tr>
      <w:tr w:rsidR="001C4436" w:rsidTr="001335F4">
        <w:trPr>
          <w:trHeight w:val="406"/>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Construction</w:t>
            </w:r>
          </w:p>
        </w:tc>
        <w:tc>
          <w:tcPr>
            <w:tcW w:w="190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-5.980</w:t>
            </w:r>
          </w:p>
        </w:tc>
        <w:tc>
          <w:tcPr>
            <w:tcW w:w="1775"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1.535</w:t>
            </w:r>
          </w:p>
        </w:tc>
        <w:tc>
          <w:tcPr>
            <w:tcW w:w="1828"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-3.89</w:t>
            </w:r>
          </w:p>
        </w:tc>
        <w:tc>
          <w:tcPr>
            <w:tcW w:w="95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&lt;0.001</w:t>
            </w:r>
          </w:p>
        </w:tc>
      </w:tr>
      <w:tr w:rsidR="001C4436" w:rsidTr="001335F4">
        <w:trPr>
          <w:trHeight w:val="426"/>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Financial Services</w:t>
            </w:r>
          </w:p>
        </w:tc>
        <w:tc>
          <w:tcPr>
            <w:tcW w:w="190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3.857</w:t>
            </w:r>
          </w:p>
        </w:tc>
        <w:tc>
          <w:tcPr>
            <w:tcW w:w="1775"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0.974</w:t>
            </w:r>
          </w:p>
        </w:tc>
        <w:tc>
          <w:tcPr>
            <w:tcW w:w="1828"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3.96</w:t>
            </w:r>
          </w:p>
        </w:tc>
        <w:tc>
          <w:tcPr>
            <w:tcW w:w="95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&lt;0.001</w:t>
            </w:r>
          </w:p>
        </w:tc>
      </w:tr>
      <w:tr w:rsidR="001C4436" w:rsidTr="001335F4">
        <w:trPr>
          <w:trHeight w:val="701"/>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Information Technology</w:t>
            </w:r>
          </w:p>
        </w:tc>
        <w:tc>
          <w:tcPr>
            <w:tcW w:w="1907"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7.814</w:t>
            </w:r>
          </w:p>
        </w:tc>
        <w:tc>
          <w:tcPr>
            <w:tcW w:w="1775"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1.253</w:t>
            </w:r>
          </w:p>
        </w:tc>
        <w:tc>
          <w:tcPr>
            <w:tcW w:w="1828" w:type="dxa"/>
          </w:tcPr>
          <w:p w:rsidR="001C4436" w:rsidRDefault="00AB109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6.24</w:t>
            </w:r>
          </w:p>
        </w:tc>
        <w:tc>
          <w:tcPr>
            <w:tcW w:w="957" w:type="dxa"/>
          </w:tcPr>
          <w:p w:rsidR="001C4436" w:rsidRDefault="0024192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&lt;0.001</w:t>
            </w:r>
          </w:p>
        </w:tc>
      </w:tr>
      <w:tr w:rsidR="001C4436" w:rsidTr="001335F4">
        <w:trPr>
          <w:trHeight w:val="414"/>
        </w:trPr>
        <w:tc>
          <w:tcPr>
            <w:tcW w:w="1896" w:type="dxa"/>
          </w:tcPr>
          <w:p w:rsidR="001C4436" w:rsidRDefault="00037684" w:rsidP="00037684">
            <w:pPr>
              <w:rPr>
                <w:rFonts w:ascii="Times New Roman" w:hAnsi="Times New Roman" w:cs="Times New Roman"/>
                <w:sz w:val="24"/>
                <w:szCs w:val="26"/>
                <w:lang w:val="en-US"/>
              </w:rPr>
            </w:pPr>
            <w:r>
              <w:rPr>
                <w:rFonts w:ascii="Times New Roman" w:hAnsi="Times New Roman" w:cs="Times New Roman"/>
                <w:sz w:val="24"/>
                <w:szCs w:val="26"/>
                <w:lang w:val="en-US"/>
              </w:rPr>
              <w:t xml:space="preserve">    </w:t>
            </w:r>
            <w:r w:rsidR="001335F4">
              <w:rPr>
                <w:rFonts w:ascii="Times New Roman" w:hAnsi="Times New Roman" w:cs="Times New Roman"/>
                <w:sz w:val="24"/>
                <w:szCs w:val="26"/>
                <w:lang w:val="en-US"/>
              </w:rPr>
              <w:t>Metals &amp; Mining</w:t>
            </w:r>
          </w:p>
        </w:tc>
        <w:tc>
          <w:tcPr>
            <w:tcW w:w="1907" w:type="dxa"/>
          </w:tcPr>
          <w:p w:rsidR="001C4436" w:rsidRDefault="0024192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-7.046</w:t>
            </w:r>
          </w:p>
        </w:tc>
        <w:tc>
          <w:tcPr>
            <w:tcW w:w="1775" w:type="dxa"/>
          </w:tcPr>
          <w:p w:rsidR="001C4436" w:rsidRDefault="0024192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1.396</w:t>
            </w:r>
          </w:p>
        </w:tc>
        <w:tc>
          <w:tcPr>
            <w:tcW w:w="1828" w:type="dxa"/>
          </w:tcPr>
          <w:p w:rsidR="001C4436" w:rsidRDefault="0024192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-5.05</w:t>
            </w:r>
          </w:p>
        </w:tc>
        <w:tc>
          <w:tcPr>
            <w:tcW w:w="957" w:type="dxa"/>
          </w:tcPr>
          <w:p w:rsidR="001C4436" w:rsidRDefault="0024192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&lt;0.001</w:t>
            </w:r>
          </w:p>
        </w:tc>
      </w:tr>
      <w:tr w:rsidR="001C4436" w:rsidTr="001335F4">
        <w:trPr>
          <w:trHeight w:val="406"/>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Oil Gas &amp; Fuels</w:t>
            </w:r>
          </w:p>
        </w:tc>
        <w:tc>
          <w:tcPr>
            <w:tcW w:w="1907" w:type="dxa"/>
          </w:tcPr>
          <w:p w:rsidR="001C4436" w:rsidRDefault="0024192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-4.095</w:t>
            </w:r>
          </w:p>
        </w:tc>
        <w:tc>
          <w:tcPr>
            <w:tcW w:w="1775"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1.346</w:t>
            </w:r>
          </w:p>
        </w:tc>
        <w:tc>
          <w:tcPr>
            <w:tcW w:w="1828"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-3.04</w:t>
            </w:r>
          </w:p>
        </w:tc>
        <w:tc>
          <w:tcPr>
            <w:tcW w:w="957"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0.003</w:t>
            </w:r>
          </w:p>
        </w:tc>
      </w:tr>
      <w:tr w:rsidR="001C4436" w:rsidTr="001335F4">
        <w:trPr>
          <w:trHeight w:val="412"/>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Power</w:t>
            </w:r>
          </w:p>
        </w:tc>
        <w:tc>
          <w:tcPr>
            <w:tcW w:w="1907"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-3.507</w:t>
            </w:r>
          </w:p>
        </w:tc>
        <w:tc>
          <w:tcPr>
            <w:tcW w:w="1775"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1.427</w:t>
            </w:r>
          </w:p>
        </w:tc>
        <w:tc>
          <w:tcPr>
            <w:tcW w:w="1828"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-2.46</w:t>
            </w:r>
          </w:p>
        </w:tc>
        <w:tc>
          <w:tcPr>
            <w:tcW w:w="957"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0.014</w:t>
            </w:r>
          </w:p>
        </w:tc>
      </w:tr>
      <w:tr w:rsidR="001C4436" w:rsidTr="001335F4">
        <w:trPr>
          <w:trHeight w:val="418"/>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Realty</w:t>
            </w:r>
          </w:p>
        </w:tc>
        <w:tc>
          <w:tcPr>
            <w:tcW w:w="1907"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-3.910</w:t>
            </w:r>
          </w:p>
        </w:tc>
        <w:tc>
          <w:tcPr>
            <w:tcW w:w="1775"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1.642</w:t>
            </w:r>
          </w:p>
        </w:tc>
        <w:tc>
          <w:tcPr>
            <w:tcW w:w="1828"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-2.38</w:t>
            </w:r>
          </w:p>
        </w:tc>
        <w:tc>
          <w:tcPr>
            <w:tcW w:w="957"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0.018</w:t>
            </w:r>
          </w:p>
        </w:tc>
      </w:tr>
      <w:tr w:rsidR="001C4436" w:rsidTr="001335F4">
        <w:trPr>
          <w:trHeight w:val="423"/>
        </w:trPr>
        <w:tc>
          <w:tcPr>
            <w:tcW w:w="1896" w:type="dxa"/>
          </w:tcPr>
          <w:p w:rsidR="001C4436" w:rsidRDefault="001335F4"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Telecommunication</w:t>
            </w:r>
          </w:p>
        </w:tc>
        <w:tc>
          <w:tcPr>
            <w:tcW w:w="1907"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-4.145</w:t>
            </w:r>
          </w:p>
        </w:tc>
        <w:tc>
          <w:tcPr>
            <w:tcW w:w="1775"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1.678</w:t>
            </w:r>
          </w:p>
        </w:tc>
        <w:tc>
          <w:tcPr>
            <w:tcW w:w="1828"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-2.47</w:t>
            </w:r>
          </w:p>
        </w:tc>
        <w:tc>
          <w:tcPr>
            <w:tcW w:w="957" w:type="dxa"/>
          </w:tcPr>
          <w:p w:rsidR="001C4436" w:rsidRDefault="00CC7F0B" w:rsidP="00CC7F0B">
            <w:pPr>
              <w:jc w:val="center"/>
              <w:rPr>
                <w:rFonts w:ascii="Times New Roman" w:hAnsi="Times New Roman" w:cs="Times New Roman"/>
                <w:sz w:val="24"/>
                <w:szCs w:val="26"/>
                <w:lang w:val="en-US"/>
              </w:rPr>
            </w:pPr>
            <w:r>
              <w:rPr>
                <w:rFonts w:ascii="Times New Roman" w:hAnsi="Times New Roman" w:cs="Times New Roman"/>
                <w:sz w:val="24"/>
                <w:szCs w:val="26"/>
                <w:lang w:val="en-US"/>
              </w:rPr>
              <w:t>0.014</w:t>
            </w:r>
          </w:p>
        </w:tc>
      </w:tr>
    </w:tbl>
    <w:p w:rsidR="009B6E6A" w:rsidRDefault="009B6E6A" w:rsidP="0054615C">
      <w:pPr>
        <w:rPr>
          <w:rFonts w:ascii="Times New Roman" w:hAnsi="Times New Roman" w:cs="Times New Roman"/>
          <w:sz w:val="24"/>
          <w:szCs w:val="26"/>
          <w:lang w:val="en-US"/>
        </w:rPr>
      </w:pPr>
    </w:p>
    <w:p w:rsidR="007F4A2A" w:rsidRDefault="007F4A2A" w:rsidP="0054615C">
      <w:pPr>
        <w:rPr>
          <w:rFonts w:cstheme="minorHAnsi"/>
          <w:szCs w:val="26"/>
          <w:lang w:val="en-US"/>
        </w:rPr>
      </w:pPr>
      <w:r>
        <w:rPr>
          <w:rFonts w:cstheme="minorHAnsi"/>
          <w:szCs w:val="26"/>
          <w:lang w:val="en-US"/>
        </w:rPr>
        <w:t>Model fit: R</w:t>
      </w:r>
      <w:r>
        <w:rPr>
          <w:rFonts w:cstheme="minorHAnsi"/>
          <w:szCs w:val="26"/>
          <w:vertAlign w:val="superscript"/>
          <w:lang w:val="en-US"/>
        </w:rPr>
        <w:t>2</w:t>
      </w:r>
      <w:r>
        <w:rPr>
          <w:rFonts w:cstheme="minorHAnsi"/>
          <w:szCs w:val="26"/>
          <w:lang w:val="en-US"/>
        </w:rPr>
        <w:t xml:space="preserve"> = 0.4343, Adjusted R</w:t>
      </w:r>
      <w:r>
        <w:rPr>
          <w:rFonts w:cstheme="minorHAnsi"/>
          <w:szCs w:val="26"/>
          <w:vertAlign w:val="superscript"/>
          <w:lang w:val="en-US"/>
        </w:rPr>
        <w:t>2</w:t>
      </w:r>
      <w:r>
        <w:rPr>
          <w:rFonts w:cstheme="minorHAnsi"/>
          <w:szCs w:val="26"/>
          <w:lang w:val="en-US"/>
        </w:rPr>
        <w:t xml:space="preserve"> = 0.4128, F(16,420)</w:t>
      </w:r>
      <w:r w:rsidR="007F2398">
        <w:rPr>
          <w:rFonts w:cstheme="minorHAnsi"/>
          <w:szCs w:val="26"/>
          <w:lang w:val="en-US"/>
        </w:rPr>
        <w:t xml:space="preserve"> </w:t>
      </w:r>
      <w:r>
        <w:rPr>
          <w:rFonts w:cstheme="minorHAnsi"/>
          <w:szCs w:val="26"/>
          <w:lang w:val="en-US"/>
        </w:rPr>
        <w:t>= 20.155, p &lt; 0.0001, AIC = 2561.22, BIC = 2630.58.</w:t>
      </w:r>
    </w:p>
    <w:p w:rsidR="007F4A2A" w:rsidRDefault="007F4A2A" w:rsidP="0054615C">
      <w:pPr>
        <w:rPr>
          <w:rFonts w:cstheme="minorHAnsi"/>
          <w:szCs w:val="26"/>
          <w:lang w:val="en-US"/>
        </w:rPr>
      </w:pPr>
      <w:r>
        <w:rPr>
          <w:rFonts w:cstheme="minorHAnsi"/>
          <w:szCs w:val="26"/>
          <w:lang w:val="en-US"/>
        </w:rPr>
        <w:t>The results are striking. Once industry fixed effects are introduced:</w:t>
      </w:r>
      <w:r w:rsidR="000E4638">
        <w:rPr>
          <w:rFonts w:cstheme="minorHAnsi"/>
          <w:szCs w:val="26"/>
          <w:lang w:val="en-US"/>
        </w:rPr>
        <w:t xml:space="preserve"> </w:t>
      </w:r>
    </w:p>
    <w:p w:rsidR="000E4638" w:rsidRDefault="000E4638" w:rsidP="000E4638">
      <w:pPr>
        <w:pStyle w:val="ListParagraph"/>
        <w:numPr>
          <w:ilvl w:val="0"/>
          <w:numId w:val="8"/>
        </w:numPr>
        <w:rPr>
          <w:rFonts w:cstheme="minorHAnsi"/>
          <w:szCs w:val="26"/>
          <w:lang w:val="en-US"/>
        </w:rPr>
      </w:pPr>
      <w:r>
        <w:rPr>
          <w:rFonts w:cstheme="minorHAnsi"/>
          <w:szCs w:val="26"/>
          <w:lang w:val="en-US"/>
        </w:rPr>
        <w:t>The DO Score coefficient shrinks by approximately 70% (from 0.145 to 0.043) and loses statistical significance entirely (p=0.353 &gt; 0.05).</w:t>
      </w:r>
    </w:p>
    <w:p w:rsidR="000E4638" w:rsidRPr="000E4638" w:rsidRDefault="000E4638" w:rsidP="000E4638">
      <w:pPr>
        <w:pStyle w:val="ListParagraph"/>
        <w:rPr>
          <w:rFonts w:cstheme="minorHAnsi"/>
          <w:szCs w:val="26"/>
          <w:lang w:val="en-US"/>
        </w:rPr>
      </w:pPr>
    </w:p>
    <w:p w:rsidR="007F4A2A" w:rsidRDefault="000E4638" w:rsidP="000E4638">
      <w:pPr>
        <w:pStyle w:val="ListParagraph"/>
        <w:numPr>
          <w:ilvl w:val="0"/>
          <w:numId w:val="8"/>
        </w:numPr>
        <w:rPr>
          <w:rFonts w:cstheme="minorHAnsi"/>
          <w:szCs w:val="26"/>
          <w:lang w:val="en-US"/>
        </w:rPr>
      </w:pPr>
      <w:r>
        <w:rPr>
          <w:rFonts w:cstheme="minorHAnsi"/>
          <w:szCs w:val="26"/>
          <w:lang w:val="en-US"/>
        </w:rPr>
        <w:t>Industry dummies explain the overwhelming majority of variance: R</w:t>
      </w:r>
      <w:r>
        <w:rPr>
          <w:rFonts w:cstheme="minorHAnsi"/>
          <w:szCs w:val="26"/>
          <w:vertAlign w:val="superscript"/>
          <w:lang w:val="en-US"/>
        </w:rPr>
        <w:t>2</w:t>
      </w:r>
      <w:r>
        <w:rPr>
          <w:rFonts w:cstheme="minorHAnsi"/>
          <w:szCs w:val="26"/>
          <w:lang w:val="en-US"/>
        </w:rPr>
        <w:t xml:space="preserve"> rises from 0.015 to 0.434 a 28-fold increase. The F-test for joint significance of all industry dummies is F(15,420) = 20.74, p &lt; 0.0001.</w:t>
      </w:r>
    </w:p>
    <w:p w:rsidR="000E4638" w:rsidRPr="000E4638" w:rsidRDefault="000E4638" w:rsidP="000E4638">
      <w:pPr>
        <w:pStyle w:val="ListParagraph"/>
        <w:rPr>
          <w:rFonts w:cstheme="minorHAnsi"/>
          <w:szCs w:val="26"/>
          <w:lang w:val="en-US"/>
        </w:rPr>
      </w:pPr>
    </w:p>
    <w:p w:rsidR="000E4638" w:rsidRDefault="000E4638" w:rsidP="000E4638">
      <w:pPr>
        <w:pStyle w:val="ListParagraph"/>
        <w:numPr>
          <w:ilvl w:val="0"/>
          <w:numId w:val="8"/>
        </w:numPr>
        <w:rPr>
          <w:rFonts w:cstheme="minorHAnsi"/>
          <w:szCs w:val="26"/>
          <w:lang w:val="en-US"/>
        </w:rPr>
      </w:pPr>
      <w:r>
        <w:rPr>
          <w:rFonts w:cstheme="minorHAnsi"/>
          <w:szCs w:val="26"/>
          <w:lang w:val="en-US"/>
        </w:rPr>
        <w:t>Large industry effects are evident: Information</w:t>
      </w:r>
      <w:r w:rsidR="00436C9C">
        <w:rPr>
          <w:rFonts w:cstheme="minorHAnsi"/>
          <w:szCs w:val="26"/>
          <w:lang w:val="en-US"/>
        </w:rPr>
        <w:t xml:space="preserve"> Technology companies score 7.81 points higher on ESG than the baseline, while Metals &amp; Mining companies score 7.05 points lower. Financial services scores 3.86 points higher. These sectoral differences dwarf the predicted effect of even extreme changes in DO Score.</w:t>
      </w:r>
    </w:p>
    <w:p w:rsidR="00436C9C" w:rsidRPr="00436C9C" w:rsidRDefault="00436C9C" w:rsidP="00436C9C">
      <w:pPr>
        <w:pStyle w:val="ListParagraph"/>
        <w:rPr>
          <w:rFonts w:cstheme="minorHAnsi"/>
          <w:szCs w:val="26"/>
          <w:lang w:val="en-US"/>
        </w:rPr>
      </w:pPr>
    </w:p>
    <w:p w:rsidR="000E4638" w:rsidRDefault="00436C9C" w:rsidP="00E3789D">
      <w:pPr>
        <w:pStyle w:val="ListParagraph"/>
        <w:numPr>
          <w:ilvl w:val="0"/>
          <w:numId w:val="8"/>
        </w:numPr>
        <w:rPr>
          <w:rFonts w:cstheme="minorHAnsi"/>
          <w:szCs w:val="26"/>
          <w:lang w:val="en-US"/>
        </w:rPr>
      </w:pPr>
      <w:r>
        <w:rPr>
          <w:rFonts w:cstheme="minorHAnsi"/>
          <w:szCs w:val="26"/>
          <w:lang w:val="en-US"/>
        </w:rPr>
        <w:t>Model selection criteria favor model 2: The AIC drops from 2773.49 to 2561.22 and the BIC drops from 2781.65 to 2630.58 despite the penalty for additional parameters.</w:t>
      </w:r>
    </w:p>
    <w:p w:rsidR="007F2398" w:rsidRPr="007F2398" w:rsidRDefault="007F2398" w:rsidP="007F2398">
      <w:pPr>
        <w:pStyle w:val="ListParagraph"/>
        <w:rPr>
          <w:rFonts w:cstheme="minorHAnsi"/>
          <w:szCs w:val="26"/>
          <w:lang w:val="en-US"/>
        </w:rPr>
      </w:pPr>
    </w:p>
    <w:p w:rsidR="007F2398" w:rsidRDefault="007F2398" w:rsidP="007F2398">
      <w:pPr>
        <w:pStyle w:val="ListParagraph"/>
        <w:numPr>
          <w:ilvl w:val="2"/>
          <w:numId w:val="8"/>
        </w:numPr>
        <w:rPr>
          <w:rFonts w:ascii="Times New Roman" w:hAnsi="Times New Roman" w:cs="Times New Roman"/>
          <w:sz w:val="24"/>
          <w:szCs w:val="26"/>
          <w:lang w:val="en-US"/>
        </w:rPr>
      </w:pPr>
      <w:r w:rsidRPr="007F2398">
        <w:rPr>
          <w:rFonts w:ascii="Times New Roman" w:hAnsi="Times New Roman" w:cs="Times New Roman"/>
          <w:sz w:val="24"/>
          <w:szCs w:val="26"/>
          <w:lang w:val="en-US"/>
        </w:rPr>
        <w:t>ANOVA: ESG by DO Tier</w:t>
      </w:r>
    </w:p>
    <w:p w:rsidR="007F2398" w:rsidRDefault="007F2398" w:rsidP="007F2398">
      <w:pPr>
        <w:pStyle w:val="ListParagraph"/>
        <w:ind w:left="1080"/>
        <w:rPr>
          <w:rFonts w:ascii="Times New Roman" w:hAnsi="Times New Roman" w:cs="Times New Roman"/>
          <w:sz w:val="24"/>
          <w:szCs w:val="26"/>
          <w:lang w:val="en-US"/>
        </w:rPr>
      </w:pPr>
    </w:p>
    <w:p w:rsidR="007F2398" w:rsidRPr="007F2398" w:rsidRDefault="007F2398" w:rsidP="007F2398">
      <w:pPr>
        <w:pStyle w:val="ListParagraph"/>
        <w:ind w:left="1080"/>
        <w:rPr>
          <w:rFonts w:ascii="Times New Roman" w:hAnsi="Times New Roman" w:cs="Times New Roman"/>
          <w:sz w:val="24"/>
          <w:szCs w:val="26"/>
          <w:lang w:val="en-US"/>
        </w:rPr>
      </w:pPr>
    </w:p>
    <w:tbl>
      <w:tblPr>
        <w:tblStyle w:val="TableGrid"/>
        <w:tblW w:w="0" w:type="auto"/>
        <w:tblInd w:w="1080" w:type="dxa"/>
        <w:tblLook w:val="04A0" w:firstRow="1" w:lastRow="0" w:firstColumn="1" w:lastColumn="0" w:noHBand="0" w:noVBand="1"/>
      </w:tblPr>
      <w:tblGrid>
        <w:gridCol w:w="1396"/>
        <w:gridCol w:w="1304"/>
        <w:gridCol w:w="1343"/>
        <w:gridCol w:w="1382"/>
        <w:gridCol w:w="1317"/>
        <w:gridCol w:w="1313"/>
        <w:gridCol w:w="1321"/>
      </w:tblGrid>
      <w:tr w:rsidR="007F2398" w:rsidTr="007F2398">
        <w:tc>
          <w:tcPr>
            <w:tcW w:w="1493"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lastRenderedPageBreak/>
              <w:t>DO Tier</w:t>
            </w:r>
          </w:p>
        </w:tc>
        <w:tc>
          <w:tcPr>
            <w:tcW w:w="1493"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N</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Mean ESG</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Median ESG</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Std Dev</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Min</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Max</w:t>
            </w:r>
          </w:p>
        </w:tc>
      </w:tr>
      <w:tr w:rsidR="007F2398" w:rsidTr="007F2398">
        <w:trPr>
          <w:trHeight w:val="482"/>
        </w:trPr>
        <w:tc>
          <w:tcPr>
            <w:tcW w:w="1493"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Low</w:t>
            </w:r>
          </w:p>
        </w:tc>
        <w:tc>
          <w:tcPr>
            <w:tcW w:w="1493"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135</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54.95</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55.0</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4.98</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41</w:t>
            </w:r>
          </w:p>
        </w:tc>
        <w:tc>
          <w:tcPr>
            <w:tcW w:w="1494" w:type="dxa"/>
          </w:tcPr>
          <w:p w:rsidR="007F2398" w:rsidRDefault="005B4B55"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67</w:t>
            </w:r>
          </w:p>
        </w:tc>
      </w:tr>
      <w:tr w:rsidR="007F2398" w:rsidTr="007F2398">
        <w:trPr>
          <w:trHeight w:val="546"/>
        </w:trPr>
        <w:tc>
          <w:tcPr>
            <w:tcW w:w="1493"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Medium</w:t>
            </w:r>
          </w:p>
        </w:tc>
        <w:tc>
          <w:tcPr>
            <w:tcW w:w="1493"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153</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58.16</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58.0</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4.88</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4</w:t>
            </w:r>
            <w:r w:rsidR="005B4B55">
              <w:rPr>
                <w:rFonts w:ascii="Times New Roman" w:hAnsi="Times New Roman" w:cs="Times New Roman"/>
                <w:sz w:val="24"/>
                <w:szCs w:val="26"/>
                <w:lang w:val="en-US"/>
              </w:rPr>
              <w:t>7</w:t>
            </w:r>
          </w:p>
        </w:tc>
        <w:tc>
          <w:tcPr>
            <w:tcW w:w="1494" w:type="dxa"/>
          </w:tcPr>
          <w:p w:rsidR="007F2398" w:rsidRDefault="005B4B55"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73</w:t>
            </w:r>
          </w:p>
        </w:tc>
      </w:tr>
      <w:tr w:rsidR="007F2398" w:rsidTr="007F2398">
        <w:trPr>
          <w:trHeight w:val="565"/>
        </w:trPr>
        <w:tc>
          <w:tcPr>
            <w:tcW w:w="1493"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High</w:t>
            </w:r>
          </w:p>
        </w:tc>
        <w:tc>
          <w:tcPr>
            <w:tcW w:w="1493"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149</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60.05</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61.0</w:t>
            </w:r>
          </w:p>
        </w:tc>
        <w:tc>
          <w:tcPr>
            <w:tcW w:w="1494" w:type="dxa"/>
          </w:tcPr>
          <w:p w:rsidR="007F2398" w:rsidRDefault="007F2398"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6.30</w:t>
            </w:r>
          </w:p>
        </w:tc>
        <w:tc>
          <w:tcPr>
            <w:tcW w:w="1494" w:type="dxa"/>
          </w:tcPr>
          <w:p w:rsidR="007F2398" w:rsidRDefault="005B4B55"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45</w:t>
            </w:r>
          </w:p>
        </w:tc>
        <w:tc>
          <w:tcPr>
            <w:tcW w:w="1494" w:type="dxa"/>
          </w:tcPr>
          <w:p w:rsidR="007F2398" w:rsidRDefault="005B4B55" w:rsidP="007F2398">
            <w:pPr>
              <w:pStyle w:val="ListParagraph"/>
              <w:ind w:left="0"/>
              <w:jc w:val="center"/>
              <w:rPr>
                <w:rFonts w:ascii="Times New Roman" w:hAnsi="Times New Roman" w:cs="Times New Roman"/>
                <w:sz w:val="24"/>
                <w:szCs w:val="26"/>
                <w:lang w:val="en-US"/>
              </w:rPr>
            </w:pPr>
            <w:r>
              <w:rPr>
                <w:rFonts w:ascii="Times New Roman" w:hAnsi="Times New Roman" w:cs="Times New Roman"/>
                <w:sz w:val="24"/>
                <w:szCs w:val="26"/>
                <w:lang w:val="en-US"/>
              </w:rPr>
              <w:t>77</w:t>
            </w:r>
          </w:p>
        </w:tc>
      </w:tr>
    </w:tbl>
    <w:p w:rsidR="00AB0041" w:rsidRDefault="005B4B55" w:rsidP="000E4638">
      <w:pPr>
        <w:rPr>
          <w:rFonts w:ascii="Times New Roman" w:hAnsi="Times New Roman" w:cs="Times New Roman"/>
          <w:sz w:val="24"/>
          <w:szCs w:val="26"/>
          <w:lang w:val="en-US"/>
        </w:rPr>
      </w:pPr>
      <w:r>
        <w:rPr>
          <w:rFonts w:ascii="Times New Roman" w:hAnsi="Times New Roman" w:cs="Times New Roman"/>
          <w:sz w:val="24"/>
          <w:szCs w:val="26"/>
          <w:lang w:val="en-US"/>
        </w:rPr>
        <w:t xml:space="preserve">                  </w:t>
      </w:r>
    </w:p>
    <w:p w:rsidR="000E4638" w:rsidRDefault="00AB0041" w:rsidP="000E4638">
      <w:pPr>
        <w:rPr>
          <w:rFonts w:cstheme="minorHAnsi"/>
          <w:szCs w:val="26"/>
          <w:lang w:val="en-US"/>
        </w:rPr>
      </w:pPr>
      <w:r>
        <w:rPr>
          <w:rFonts w:ascii="Times New Roman" w:hAnsi="Times New Roman" w:cs="Times New Roman"/>
          <w:sz w:val="24"/>
          <w:szCs w:val="26"/>
          <w:lang w:val="en-US"/>
        </w:rPr>
        <w:t xml:space="preserve">                 </w:t>
      </w:r>
      <w:r w:rsidR="005B4B55">
        <w:rPr>
          <w:rFonts w:cstheme="minorHAnsi"/>
          <w:szCs w:val="26"/>
          <w:lang w:val="en-US"/>
        </w:rPr>
        <w:t xml:space="preserve">One-way ANOVA: F(2, 434) = 31.747, p &lt; 0.0001. </w:t>
      </w:r>
    </w:p>
    <w:p w:rsidR="005E4ED7" w:rsidRDefault="005E4ED7" w:rsidP="000E4638">
      <w:pPr>
        <w:rPr>
          <w:rFonts w:cstheme="minorHAnsi"/>
          <w:szCs w:val="26"/>
          <w:lang w:val="en-US"/>
        </w:rPr>
      </w:pPr>
    </w:p>
    <w:p w:rsidR="005E4ED7" w:rsidRPr="005E4ED7" w:rsidRDefault="00102531" w:rsidP="000E4638">
      <w:pPr>
        <w:rPr>
          <w:rFonts w:ascii="Times New Roman" w:hAnsi="Times New Roman" w:cs="Times New Roman"/>
          <w:sz w:val="24"/>
          <w:szCs w:val="26"/>
          <w:lang w:val="en-US"/>
        </w:rPr>
      </w:pPr>
      <w:r>
        <w:rPr>
          <w:rFonts w:ascii="Times New Roman" w:hAnsi="Times New Roman" w:cs="Times New Roman"/>
          <w:sz w:val="24"/>
          <w:szCs w:val="26"/>
          <w:lang w:val="en-US"/>
        </w:rPr>
        <w:t xml:space="preserve">      4.2.5</w:t>
      </w:r>
      <w:bookmarkStart w:id="0" w:name="_GoBack"/>
      <w:bookmarkEnd w:id="0"/>
      <w:r>
        <w:rPr>
          <w:rFonts w:ascii="Times New Roman" w:hAnsi="Times New Roman" w:cs="Times New Roman"/>
          <w:sz w:val="24"/>
          <w:szCs w:val="26"/>
          <w:lang w:val="en-US"/>
        </w:rPr>
        <w:t xml:space="preserve">   </w:t>
      </w:r>
      <w:r w:rsidR="005E4ED7">
        <w:rPr>
          <w:rFonts w:ascii="Times New Roman" w:hAnsi="Times New Roman" w:cs="Times New Roman"/>
          <w:sz w:val="24"/>
          <w:szCs w:val="26"/>
          <w:lang w:val="en-US"/>
        </w:rPr>
        <w:t xml:space="preserve"> </w:t>
      </w:r>
      <w:r w:rsidR="00AB0041" w:rsidRPr="005E4ED7">
        <w:rPr>
          <w:rFonts w:ascii="Times New Roman" w:hAnsi="Times New Roman" w:cs="Times New Roman"/>
          <w:sz w:val="24"/>
          <w:szCs w:val="26"/>
          <w:lang w:val="en-US"/>
        </w:rPr>
        <w:t>Tukey HSD Post-hoc Tests:</w:t>
      </w:r>
    </w:p>
    <w:tbl>
      <w:tblPr>
        <w:tblStyle w:val="TableGrid"/>
        <w:tblW w:w="0" w:type="auto"/>
        <w:tblInd w:w="1980" w:type="dxa"/>
        <w:tblLook w:val="04A0" w:firstRow="1" w:lastRow="0" w:firstColumn="1" w:lastColumn="0" w:noHBand="0" w:noVBand="1"/>
      </w:tblPr>
      <w:tblGrid>
        <w:gridCol w:w="1390"/>
        <w:gridCol w:w="2374"/>
        <w:gridCol w:w="2334"/>
        <w:gridCol w:w="1270"/>
      </w:tblGrid>
      <w:tr w:rsidR="005E4ED7" w:rsidTr="005E4ED7">
        <w:tc>
          <w:tcPr>
            <w:tcW w:w="1390"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Comparison</w:t>
            </w:r>
          </w:p>
        </w:tc>
        <w:tc>
          <w:tcPr>
            <w:tcW w:w="2374"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Mean Difference</w:t>
            </w:r>
          </w:p>
        </w:tc>
        <w:tc>
          <w:tcPr>
            <w:tcW w:w="2334"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P - adjusted</w:t>
            </w:r>
          </w:p>
        </w:tc>
        <w:tc>
          <w:tcPr>
            <w:tcW w:w="1131"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Significant</w:t>
            </w:r>
          </w:p>
        </w:tc>
      </w:tr>
      <w:tr w:rsidR="005E4ED7" w:rsidTr="005E4ED7">
        <w:tc>
          <w:tcPr>
            <w:tcW w:w="1390"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High vs Low</w:t>
            </w:r>
          </w:p>
        </w:tc>
        <w:tc>
          <w:tcPr>
            <w:tcW w:w="2374"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-5.106</w:t>
            </w:r>
          </w:p>
        </w:tc>
        <w:tc>
          <w:tcPr>
            <w:tcW w:w="2334"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&lt;0.0001</w:t>
            </w:r>
          </w:p>
        </w:tc>
        <w:tc>
          <w:tcPr>
            <w:tcW w:w="1131"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Yes</w:t>
            </w:r>
          </w:p>
        </w:tc>
      </w:tr>
      <w:tr w:rsidR="005E4ED7" w:rsidTr="005E4ED7">
        <w:tc>
          <w:tcPr>
            <w:tcW w:w="1390"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High vs Medium</w:t>
            </w:r>
          </w:p>
        </w:tc>
        <w:tc>
          <w:tcPr>
            <w:tcW w:w="2374"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-1.890</w:t>
            </w:r>
          </w:p>
        </w:tc>
        <w:tc>
          <w:tcPr>
            <w:tcW w:w="2334"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0.0075</w:t>
            </w:r>
          </w:p>
        </w:tc>
        <w:tc>
          <w:tcPr>
            <w:tcW w:w="1131"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Yes</w:t>
            </w:r>
          </w:p>
        </w:tc>
      </w:tr>
      <w:tr w:rsidR="005E4ED7" w:rsidTr="005E4ED7">
        <w:tc>
          <w:tcPr>
            <w:tcW w:w="1390"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Low vs Medium</w:t>
            </w:r>
          </w:p>
        </w:tc>
        <w:tc>
          <w:tcPr>
            <w:tcW w:w="2374"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3.215</w:t>
            </w:r>
          </w:p>
        </w:tc>
        <w:tc>
          <w:tcPr>
            <w:tcW w:w="2334"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&lt; 0.0001</w:t>
            </w:r>
          </w:p>
        </w:tc>
        <w:tc>
          <w:tcPr>
            <w:tcW w:w="1131" w:type="dxa"/>
          </w:tcPr>
          <w:p w:rsidR="005E4ED7" w:rsidRDefault="005E4ED7" w:rsidP="00D50931">
            <w:pPr>
              <w:jc w:val="center"/>
              <w:rPr>
                <w:rFonts w:ascii="Times New Roman" w:hAnsi="Times New Roman" w:cs="Times New Roman"/>
                <w:sz w:val="24"/>
                <w:szCs w:val="26"/>
                <w:lang w:val="en-US"/>
              </w:rPr>
            </w:pPr>
            <w:r>
              <w:rPr>
                <w:rFonts w:ascii="Times New Roman" w:hAnsi="Times New Roman" w:cs="Times New Roman"/>
                <w:sz w:val="24"/>
                <w:szCs w:val="26"/>
                <w:lang w:val="en-US"/>
              </w:rPr>
              <w:t>Yes</w:t>
            </w:r>
          </w:p>
        </w:tc>
      </w:tr>
    </w:tbl>
    <w:p w:rsidR="00AB0041" w:rsidRPr="005E4ED7" w:rsidRDefault="00AB0041" w:rsidP="000E4638">
      <w:pPr>
        <w:rPr>
          <w:rFonts w:ascii="Times New Roman" w:hAnsi="Times New Roman" w:cs="Times New Roman"/>
          <w:sz w:val="24"/>
          <w:szCs w:val="26"/>
          <w:lang w:val="en-US"/>
        </w:rPr>
      </w:pPr>
    </w:p>
    <w:p w:rsidR="00E54496" w:rsidRPr="00E54496" w:rsidRDefault="002732D7" w:rsidP="00E54496">
      <w:pPr>
        <w:rPr>
          <w:rFonts w:cstheme="minorHAnsi"/>
          <w:szCs w:val="26"/>
          <w:lang w:val="en-US"/>
        </w:rPr>
      </w:pPr>
      <w:r>
        <w:rPr>
          <w:rFonts w:cstheme="minorHAnsi"/>
          <w:szCs w:val="26"/>
          <w:lang w:val="en-US"/>
        </w:rPr>
        <w:t>All pairwise comparisons are statistically significant, with a monotonic relationship: higher DO tiers correspond to higher ESG ratings. However, this pattern is consistent with the industry confound interpretation if IT and Financial Services (high-DO sectors) also have structurally higher ESG scores, then DO tier will mechanically correlate with ESG without implying a causal DO ESG pathway.</w:t>
      </w:r>
    </w:p>
    <w:p w:rsidR="002732D7" w:rsidRPr="00E54496" w:rsidRDefault="002732D7" w:rsidP="00E54496">
      <w:pPr>
        <w:rPr>
          <w:rFonts w:ascii="Times New Roman" w:hAnsi="Times New Roman" w:cs="Times New Roman"/>
          <w:sz w:val="24"/>
          <w:szCs w:val="26"/>
          <w:lang w:val="en-US"/>
        </w:rPr>
      </w:pPr>
      <w:r w:rsidRPr="00E54496">
        <w:rPr>
          <w:rFonts w:ascii="Times New Roman" w:hAnsi="Times New Roman" w:cs="Times New Roman"/>
          <w:sz w:val="24"/>
          <w:szCs w:val="26"/>
          <w:lang w:val="en-US"/>
        </w:rPr>
        <w:t>Answer to Primary Research Question</w:t>
      </w:r>
    </w:p>
    <w:p w:rsidR="00E54496" w:rsidRPr="00E54496" w:rsidRDefault="002732D7" w:rsidP="002732D7">
      <w:pPr>
        <w:rPr>
          <w:rFonts w:cs="Times New Roman"/>
          <w:szCs w:val="26"/>
          <w:lang w:val="en-US"/>
        </w:rPr>
      </w:pPr>
      <w:r>
        <w:rPr>
          <w:rFonts w:cs="Times New Roman"/>
          <w:szCs w:val="26"/>
          <w:lang w:val="en-US"/>
        </w:rPr>
        <w:t>No, Digital orientation does not significantly predict ESG performance once industry effects are c</w:t>
      </w:r>
      <w:r w:rsidR="00E54496">
        <w:rPr>
          <w:rFonts w:cs="Times New Roman"/>
          <w:szCs w:val="26"/>
          <w:lang w:val="en-US"/>
        </w:rPr>
        <w:t>ontrolled for. In the unadjusted model, DO Score is a statistically significant predictor (β = 0.145, p = 0.010), but explains a trivial share of variance (R</w:t>
      </w:r>
      <w:r w:rsidR="00E54496">
        <w:rPr>
          <w:rFonts w:cs="Times New Roman"/>
          <w:szCs w:val="26"/>
          <w:vertAlign w:val="superscript"/>
          <w:lang w:val="en-US"/>
        </w:rPr>
        <w:t>2</w:t>
      </w:r>
      <w:r w:rsidR="00E54496">
        <w:rPr>
          <w:rFonts w:cs="Times New Roman"/>
          <w:szCs w:val="26"/>
          <w:lang w:val="en-US"/>
        </w:rPr>
        <w:t xml:space="preserve"> = 0.015). Once industry fixed effects are added, the DO Score coefficient shrinks by roughly 70% to 0.043 and loses statistical significance entirely (p = 0.353), while industry dummies alone account for 43.4% of explained variance. This indicates the raw correlation is largely attributable to industry membership certain sectors (notably IT and Financial Services) score higher on both digital orientation and ESG independently rather than a genuine causal or even purely associative pathway from digital orientation to ESG outcomes.</w:t>
      </w:r>
    </w:p>
    <w:p w:rsidR="002732D7" w:rsidRDefault="00B24BE1" w:rsidP="0054615C">
      <w:pPr>
        <w:rPr>
          <w:rFonts w:ascii="Times New Roman" w:hAnsi="Times New Roman" w:cs="Times New Roman"/>
          <w:sz w:val="26"/>
          <w:szCs w:val="26"/>
          <w:lang w:val="en-US"/>
        </w:rPr>
      </w:pPr>
      <w:r>
        <w:rPr>
          <w:rFonts w:ascii="Times New Roman" w:hAnsi="Times New Roman" w:cs="Times New Roman"/>
          <w:sz w:val="26"/>
          <w:szCs w:val="26"/>
          <w:lang w:val="en-US"/>
        </w:rPr>
        <w:t xml:space="preserve">4.3 Secondary RQ1: Which DO Dimension Matters Most? </w:t>
      </w:r>
    </w:p>
    <w:p w:rsidR="00B24BE1" w:rsidRDefault="00B24BE1" w:rsidP="0054615C">
      <w:pPr>
        <w:rPr>
          <w:rFonts w:ascii="Times New Roman" w:hAnsi="Times New Roman" w:cs="Times New Roman"/>
          <w:sz w:val="24"/>
          <w:szCs w:val="26"/>
          <w:lang w:val="en-US"/>
        </w:rPr>
      </w:pPr>
      <w:r>
        <w:rPr>
          <w:rFonts w:ascii="Times New Roman" w:hAnsi="Times New Roman" w:cs="Times New Roman"/>
          <w:sz w:val="24"/>
          <w:szCs w:val="26"/>
          <w:lang w:val="en-US"/>
        </w:rPr>
        <w:t xml:space="preserve">4.3.1 Multi collinearity Assessment </w:t>
      </w:r>
    </w:p>
    <w:p w:rsidR="00F5134E" w:rsidRDefault="00F5134E" w:rsidP="0054615C">
      <w:pPr>
        <w:rPr>
          <w:rFonts w:cs="Times New Roman"/>
          <w:szCs w:val="26"/>
          <w:lang w:val="en-US"/>
        </w:rPr>
      </w:pPr>
      <w:r>
        <w:rPr>
          <w:rFonts w:cs="Times New Roman"/>
          <w:szCs w:val="26"/>
          <w:lang w:val="en-US"/>
        </w:rPr>
        <w:t xml:space="preserve">Before estimating the sub-score decomposition model, we assess multi collinearity among the four dimensions using Variance Inflation Factors (VIF): </w:t>
      </w:r>
    </w:p>
    <w:tbl>
      <w:tblPr>
        <w:tblStyle w:val="TableGrid"/>
        <w:tblW w:w="0" w:type="auto"/>
        <w:tblLook w:val="04A0" w:firstRow="1" w:lastRow="0" w:firstColumn="1" w:lastColumn="0" w:noHBand="0" w:noVBand="1"/>
      </w:tblPr>
      <w:tblGrid>
        <w:gridCol w:w="3485"/>
        <w:gridCol w:w="3485"/>
        <w:gridCol w:w="3486"/>
      </w:tblGrid>
      <w:tr w:rsidR="00E50B35" w:rsidTr="00E50B35">
        <w:tc>
          <w:tcPr>
            <w:tcW w:w="3485" w:type="dxa"/>
          </w:tcPr>
          <w:p w:rsidR="00E50B35" w:rsidRPr="00E50B35" w:rsidRDefault="00E50B35" w:rsidP="00225135">
            <w:pPr>
              <w:jc w:val="center"/>
              <w:rPr>
                <w:rFonts w:ascii="Times New Roman" w:hAnsi="Times New Roman" w:cs="Times New Roman"/>
                <w:sz w:val="24"/>
                <w:szCs w:val="26"/>
                <w:lang w:val="en-US"/>
              </w:rPr>
            </w:pPr>
            <w:r>
              <w:rPr>
                <w:rFonts w:ascii="Times New Roman" w:hAnsi="Times New Roman" w:cs="Times New Roman"/>
                <w:sz w:val="24"/>
                <w:szCs w:val="26"/>
                <w:lang w:val="en-US"/>
              </w:rPr>
              <w:t>Sub-score</w:t>
            </w:r>
          </w:p>
        </w:tc>
        <w:tc>
          <w:tcPr>
            <w:tcW w:w="3485"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VIF</w:t>
            </w:r>
          </w:p>
        </w:tc>
        <w:tc>
          <w:tcPr>
            <w:tcW w:w="3486"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Assessment</w:t>
            </w:r>
          </w:p>
        </w:tc>
      </w:tr>
      <w:tr w:rsidR="00E50B35" w:rsidTr="00DD2633">
        <w:trPr>
          <w:trHeight w:val="338"/>
        </w:trPr>
        <w:tc>
          <w:tcPr>
            <w:tcW w:w="3485"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Digital Technology Scope</w:t>
            </w:r>
          </w:p>
        </w:tc>
        <w:tc>
          <w:tcPr>
            <w:tcW w:w="3485"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2.549</w:t>
            </w:r>
          </w:p>
        </w:tc>
        <w:tc>
          <w:tcPr>
            <w:tcW w:w="3486"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No Concern (&lt;5)</w:t>
            </w:r>
          </w:p>
        </w:tc>
      </w:tr>
      <w:tr w:rsidR="00E50B35" w:rsidTr="00DD2633">
        <w:trPr>
          <w:trHeight w:val="414"/>
        </w:trPr>
        <w:tc>
          <w:tcPr>
            <w:tcW w:w="3485"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Digital Capabilities</w:t>
            </w:r>
          </w:p>
        </w:tc>
        <w:tc>
          <w:tcPr>
            <w:tcW w:w="3485"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2.597</w:t>
            </w:r>
          </w:p>
        </w:tc>
        <w:tc>
          <w:tcPr>
            <w:tcW w:w="3486"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No Concern (&lt;5)</w:t>
            </w:r>
          </w:p>
        </w:tc>
      </w:tr>
      <w:tr w:rsidR="00E50B35" w:rsidTr="00DD2633">
        <w:trPr>
          <w:trHeight w:val="420"/>
        </w:trPr>
        <w:tc>
          <w:tcPr>
            <w:tcW w:w="3485"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Digital Ecosystem Coordination</w:t>
            </w:r>
          </w:p>
        </w:tc>
        <w:tc>
          <w:tcPr>
            <w:tcW w:w="3485"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2.379</w:t>
            </w:r>
          </w:p>
        </w:tc>
        <w:tc>
          <w:tcPr>
            <w:tcW w:w="3486"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No Concern (&lt;5)</w:t>
            </w:r>
          </w:p>
        </w:tc>
      </w:tr>
      <w:tr w:rsidR="00E50B35" w:rsidTr="00E50B35">
        <w:tc>
          <w:tcPr>
            <w:tcW w:w="3485"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Digital Architecture Configuration</w:t>
            </w:r>
          </w:p>
        </w:tc>
        <w:tc>
          <w:tcPr>
            <w:tcW w:w="3485"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1.611</w:t>
            </w:r>
          </w:p>
        </w:tc>
        <w:tc>
          <w:tcPr>
            <w:tcW w:w="3486" w:type="dxa"/>
          </w:tcPr>
          <w:p w:rsidR="00E50B35" w:rsidRPr="00E50B35" w:rsidRDefault="00E50B35" w:rsidP="00225135">
            <w:pPr>
              <w:jc w:val="center"/>
              <w:rPr>
                <w:rFonts w:ascii="Times New Roman" w:hAnsi="Times New Roman" w:cs="Times New Roman"/>
                <w:sz w:val="24"/>
                <w:szCs w:val="26"/>
                <w:lang w:val="en-US"/>
              </w:rPr>
            </w:pPr>
            <w:r w:rsidRPr="00E50B35">
              <w:rPr>
                <w:rFonts w:ascii="Times New Roman" w:hAnsi="Times New Roman" w:cs="Times New Roman"/>
                <w:sz w:val="24"/>
                <w:szCs w:val="26"/>
                <w:lang w:val="en-US"/>
              </w:rPr>
              <w:t>No Concern (&lt;5)</w:t>
            </w:r>
          </w:p>
        </w:tc>
      </w:tr>
    </w:tbl>
    <w:p w:rsidR="00F5134E" w:rsidRDefault="00F5134E" w:rsidP="0054615C">
      <w:pPr>
        <w:rPr>
          <w:rFonts w:cs="Times New Roman"/>
          <w:szCs w:val="26"/>
          <w:lang w:val="en-US"/>
        </w:rPr>
      </w:pPr>
    </w:p>
    <w:p w:rsidR="00B27D46" w:rsidRPr="00F5134E" w:rsidRDefault="00B27D46" w:rsidP="0054615C">
      <w:pPr>
        <w:rPr>
          <w:rFonts w:cs="Times New Roman"/>
          <w:szCs w:val="26"/>
          <w:lang w:val="en-US"/>
        </w:rPr>
      </w:pPr>
      <w:r>
        <w:rPr>
          <w:rFonts w:cs="Times New Roman"/>
          <w:szCs w:val="26"/>
          <w:lang w:val="en-US"/>
        </w:rPr>
        <w:t>All VIF values are well below the conventional threshold of 5, indicating that multi collinearity does not threaten the interpretability of sub-score coefficients.</w:t>
      </w:r>
    </w:p>
    <w:p w:rsidR="002732D7" w:rsidRPr="008D754F" w:rsidRDefault="008D754F" w:rsidP="0054615C">
      <w:pPr>
        <w:rPr>
          <w:rFonts w:ascii="Times New Roman" w:hAnsi="Times New Roman" w:cs="Times New Roman"/>
          <w:sz w:val="24"/>
          <w:szCs w:val="26"/>
          <w:lang w:val="en-US"/>
        </w:rPr>
      </w:pPr>
      <w:r>
        <w:rPr>
          <w:rFonts w:ascii="Times New Roman" w:hAnsi="Times New Roman" w:cs="Times New Roman"/>
          <w:sz w:val="24"/>
          <w:szCs w:val="26"/>
          <w:lang w:val="en-US"/>
        </w:rPr>
        <w:lastRenderedPageBreak/>
        <w:t>4.3.2 Sub-score Decomposition (Model 3)</w:t>
      </w: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8D754F" w:rsidTr="008D754F">
        <w:tc>
          <w:tcPr>
            <w:tcW w:w="1742"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Variable</w:t>
            </w:r>
          </w:p>
        </w:tc>
        <w:tc>
          <w:tcPr>
            <w:tcW w:w="1742"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Coefficient</w:t>
            </w:r>
          </w:p>
        </w:tc>
        <w:tc>
          <w:tcPr>
            <w:tcW w:w="1743"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Std. Error</w:t>
            </w:r>
          </w:p>
        </w:tc>
        <w:tc>
          <w:tcPr>
            <w:tcW w:w="1743"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t-statistic</w:t>
            </w:r>
          </w:p>
        </w:tc>
        <w:tc>
          <w:tcPr>
            <w:tcW w:w="1743"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p-value</w:t>
            </w:r>
          </w:p>
        </w:tc>
        <w:tc>
          <w:tcPr>
            <w:tcW w:w="1743"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Significant</w:t>
            </w:r>
          </w:p>
        </w:tc>
      </w:tr>
      <w:tr w:rsidR="008D754F" w:rsidTr="005E2AE3">
        <w:trPr>
          <w:trHeight w:val="710"/>
        </w:trPr>
        <w:tc>
          <w:tcPr>
            <w:tcW w:w="1742"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Intercept</w:t>
            </w:r>
          </w:p>
        </w:tc>
        <w:tc>
          <w:tcPr>
            <w:tcW w:w="1742"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58.772</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0.858</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68.48</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&lt;0.001</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w:t>
            </w:r>
          </w:p>
        </w:tc>
      </w:tr>
      <w:tr w:rsidR="008D754F" w:rsidTr="008D754F">
        <w:tc>
          <w:tcPr>
            <w:tcW w:w="1742"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Digital Technology Scope</w:t>
            </w:r>
          </w:p>
        </w:tc>
        <w:tc>
          <w:tcPr>
            <w:tcW w:w="1742"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-0.0052</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0.0047</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-1.09</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0.277</w:t>
            </w:r>
          </w:p>
        </w:tc>
        <w:tc>
          <w:tcPr>
            <w:tcW w:w="1743" w:type="dxa"/>
          </w:tcPr>
          <w:p w:rsidR="008D754F" w:rsidRPr="005E2AE3" w:rsidRDefault="0014771A" w:rsidP="005E2AE3">
            <w:pPr>
              <w:jc w:val="center"/>
              <w:rPr>
                <w:rFonts w:ascii="Times New Roman" w:hAnsi="Times New Roman" w:cs="Times New Roman"/>
                <w:sz w:val="24"/>
                <w:szCs w:val="26"/>
                <w:lang w:val="en-US"/>
              </w:rPr>
            </w:pPr>
            <w:r>
              <w:rPr>
                <w:rFonts w:ascii="Times New Roman" w:hAnsi="Times New Roman" w:cs="Times New Roman"/>
                <w:sz w:val="24"/>
                <w:szCs w:val="26"/>
                <w:lang w:val="en-US"/>
              </w:rPr>
              <w:t>No</w:t>
            </w:r>
          </w:p>
        </w:tc>
      </w:tr>
      <w:tr w:rsidR="008D754F" w:rsidTr="005E2AE3">
        <w:trPr>
          <w:trHeight w:val="1156"/>
        </w:trPr>
        <w:tc>
          <w:tcPr>
            <w:tcW w:w="1742"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Digital Capabilities</w:t>
            </w:r>
          </w:p>
        </w:tc>
        <w:tc>
          <w:tcPr>
            <w:tcW w:w="1742"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+0.0026</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0.0027</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0.99</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0.321</w:t>
            </w:r>
          </w:p>
        </w:tc>
        <w:tc>
          <w:tcPr>
            <w:tcW w:w="1743" w:type="dxa"/>
          </w:tcPr>
          <w:p w:rsidR="008D754F" w:rsidRPr="005E2AE3" w:rsidRDefault="0014771A" w:rsidP="005E2AE3">
            <w:pPr>
              <w:jc w:val="center"/>
              <w:rPr>
                <w:rFonts w:ascii="Times New Roman" w:hAnsi="Times New Roman" w:cs="Times New Roman"/>
                <w:sz w:val="24"/>
                <w:szCs w:val="26"/>
                <w:lang w:val="en-US"/>
              </w:rPr>
            </w:pPr>
            <w:r>
              <w:rPr>
                <w:rFonts w:ascii="Times New Roman" w:hAnsi="Times New Roman" w:cs="Times New Roman"/>
                <w:sz w:val="24"/>
                <w:szCs w:val="26"/>
                <w:lang w:val="en-US"/>
              </w:rPr>
              <w:t>No</w:t>
            </w:r>
          </w:p>
        </w:tc>
      </w:tr>
      <w:tr w:rsidR="008D754F" w:rsidTr="005E2AE3">
        <w:trPr>
          <w:trHeight w:val="983"/>
        </w:trPr>
        <w:tc>
          <w:tcPr>
            <w:tcW w:w="1742" w:type="dxa"/>
          </w:tcPr>
          <w:p w:rsidR="008D754F" w:rsidRPr="005E2AE3" w:rsidRDefault="008D754F"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Digital Ecosystem C</w:t>
            </w:r>
            <w:r w:rsidR="005E2AE3" w:rsidRPr="005E2AE3">
              <w:rPr>
                <w:rFonts w:ascii="Times New Roman" w:hAnsi="Times New Roman" w:cs="Times New Roman"/>
                <w:sz w:val="24"/>
                <w:szCs w:val="26"/>
                <w:lang w:val="en-US"/>
              </w:rPr>
              <w:t>oordination</w:t>
            </w:r>
          </w:p>
        </w:tc>
        <w:tc>
          <w:tcPr>
            <w:tcW w:w="1742"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-0.0074</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0.0047</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-1.57</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0.116</w:t>
            </w:r>
          </w:p>
        </w:tc>
        <w:tc>
          <w:tcPr>
            <w:tcW w:w="1743" w:type="dxa"/>
          </w:tcPr>
          <w:p w:rsidR="008D754F" w:rsidRPr="005E2AE3" w:rsidRDefault="0014771A" w:rsidP="005E2AE3">
            <w:pPr>
              <w:jc w:val="center"/>
              <w:rPr>
                <w:rFonts w:ascii="Times New Roman" w:hAnsi="Times New Roman" w:cs="Times New Roman"/>
                <w:sz w:val="24"/>
                <w:szCs w:val="26"/>
                <w:lang w:val="en-US"/>
              </w:rPr>
            </w:pPr>
            <w:r>
              <w:rPr>
                <w:rFonts w:ascii="Times New Roman" w:hAnsi="Times New Roman" w:cs="Times New Roman"/>
                <w:sz w:val="24"/>
                <w:szCs w:val="26"/>
                <w:lang w:val="en-US"/>
              </w:rPr>
              <w:t>No</w:t>
            </w:r>
          </w:p>
        </w:tc>
      </w:tr>
      <w:tr w:rsidR="008D754F" w:rsidTr="005E2AE3">
        <w:trPr>
          <w:trHeight w:val="989"/>
        </w:trPr>
        <w:tc>
          <w:tcPr>
            <w:tcW w:w="1742"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Digital Architecture Configuration</w:t>
            </w:r>
          </w:p>
        </w:tc>
        <w:tc>
          <w:tcPr>
            <w:tcW w:w="1742"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+0.0032</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0.0010</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3.37</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0.0008</w:t>
            </w:r>
          </w:p>
        </w:tc>
        <w:tc>
          <w:tcPr>
            <w:tcW w:w="1743" w:type="dxa"/>
          </w:tcPr>
          <w:p w:rsidR="008D754F" w:rsidRPr="005E2AE3" w:rsidRDefault="005E2AE3" w:rsidP="005E2AE3">
            <w:pPr>
              <w:jc w:val="center"/>
              <w:rPr>
                <w:rFonts w:ascii="Times New Roman" w:hAnsi="Times New Roman" w:cs="Times New Roman"/>
                <w:sz w:val="24"/>
                <w:szCs w:val="26"/>
                <w:lang w:val="en-US"/>
              </w:rPr>
            </w:pPr>
            <w:r w:rsidRPr="005E2AE3">
              <w:rPr>
                <w:rFonts w:ascii="Times New Roman" w:hAnsi="Times New Roman" w:cs="Times New Roman"/>
                <w:sz w:val="24"/>
                <w:szCs w:val="26"/>
                <w:lang w:val="en-US"/>
              </w:rPr>
              <w:t>Yes</w:t>
            </w:r>
          </w:p>
        </w:tc>
      </w:tr>
    </w:tbl>
    <w:p w:rsidR="002732D7" w:rsidRPr="00210B57" w:rsidRDefault="00210B57" w:rsidP="0054615C">
      <w:pPr>
        <w:rPr>
          <w:rFonts w:cstheme="minorHAnsi"/>
          <w:szCs w:val="26"/>
          <w:lang w:val="en-US"/>
        </w:rPr>
      </w:pPr>
      <w:r>
        <w:rPr>
          <w:rFonts w:cstheme="minorHAnsi"/>
          <w:szCs w:val="26"/>
          <w:lang w:val="en-US"/>
        </w:rPr>
        <w:t>Model fit: R</w:t>
      </w:r>
      <w:r>
        <w:rPr>
          <w:rFonts w:cstheme="minorHAnsi"/>
          <w:szCs w:val="26"/>
          <w:vertAlign w:val="superscript"/>
          <w:lang w:val="en-US"/>
        </w:rPr>
        <w:t>2</w:t>
      </w:r>
      <w:r>
        <w:rPr>
          <w:rFonts w:cstheme="minorHAnsi"/>
          <w:szCs w:val="26"/>
          <w:lang w:val="en-US"/>
        </w:rPr>
        <w:t xml:space="preserve"> = 0.4498, Adjusted R</w:t>
      </w:r>
      <w:r>
        <w:rPr>
          <w:rFonts w:cstheme="minorHAnsi"/>
          <w:szCs w:val="26"/>
          <w:vertAlign w:val="superscript"/>
          <w:lang w:val="en-US"/>
        </w:rPr>
        <w:t>2</w:t>
      </w:r>
      <w:r>
        <w:rPr>
          <w:rFonts w:cstheme="minorHAnsi"/>
          <w:szCs w:val="26"/>
          <w:lang w:val="en-US"/>
        </w:rPr>
        <w:t xml:space="preserve"> = 0.4247, F(19,417) = 17.944, p &lt; 0.0001, AIC = 2555.09, BIC = 2636.69.</w:t>
      </w:r>
    </w:p>
    <w:p w:rsidR="00B27D46" w:rsidRPr="00B142C6" w:rsidRDefault="00B142C6" w:rsidP="0054615C">
      <w:pPr>
        <w:rPr>
          <w:rFonts w:ascii="Times New Roman" w:hAnsi="Times New Roman" w:cs="Times New Roman"/>
          <w:sz w:val="24"/>
          <w:szCs w:val="26"/>
          <w:lang w:val="en-US"/>
        </w:rPr>
      </w:pPr>
      <w:r w:rsidRPr="00B142C6">
        <w:rPr>
          <w:rFonts w:ascii="Times New Roman" w:hAnsi="Times New Roman" w:cs="Times New Roman"/>
          <w:sz w:val="24"/>
          <w:szCs w:val="26"/>
          <w:lang w:val="en-US"/>
        </w:rPr>
        <w:t xml:space="preserve">4.3.3 Interpretation </w:t>
      </w:r>
    </w:p>
    <w:p w:rsidR="00DA5398" w:rsidRDefault="00DA5398" w:rsidP="008D2096">
      <w:pPr>
        <w:rPr>
          <w:rFonts w:cstheme="minorHAnsi"/>
          <w:szCs w:val="26"/>
          <w:lang w:val="en-US"/>
        </w:rPr>
      </w:pPr>
      <w:r>
        <w:rPr>
          <w:rFonts w:cstheme="minorHAnsi"/>
          <w:szCs w:val="26"/>
          <w:lang w:val="en-US"/>
        </w:rPr>
        <w:t xml:space="preserve">Only Digital Architecture Configuration, the dimension capturing IT infrastructure, cybersecurity, data systems and automation shows a statistically significant, industry adjusted association with </w:t>
      </w:r>
      <w:r w:rsidR="008D2096">
        <w:rPr>
          <w:rFonts w:cstheme="minorHAnsi"/>
          <w:szCs w:val="26"/>
          <w:lang w:val="en-US"/>
        </w:rPr>
        <w:t xml:space="preserve">ESG Rating (β = 0.0032, p = 0.0008). The other three dimensions show no significant independent effects: </w:t>
      </w:r>
    </w:p>
    <w:p w:rsidR="008D2096" w:rsidRPr="007B1607" w:rsidRDefault="008D2096" w:rsidP="007B1607">
      <w:pPr>
        <w:pStyle w:val="ListParagraph"/>
        <w:numPr>
          <w:ilvl w:val="0"/>
          <w:numId w:val="12"/>
        </w:numPr>
        <w:rPr>
          <w:rFonts w:cstheme="minorHAnsi"/>
          <w:szCs w:val="26"/>
          <w:lang w:val="en-US"/>
        </w:rPr>
      </w:pPr>
      <w:r>
        <w:rPr>
          <w:rFonts w:cstheme="minorHAnsi"/>
          <w:szCs w:val="26"/>
          <w:lang w:val="en-US"/>
        </w:rPr>
        <w:t>Technology Scope (β = - 0.0052, p = 0.277): The breadth of technologies mentioned has no independent relationship with ESG.</w:t>
      </w:r>
    </w:p>
    <w:p w:rsidR="00624AB4" w:rsidRPr="007B1607" w:rsidRDefault="008D2096" w:rsidP="007B1607">
      <w:pPr>
        <w:pStyle w:val="ListParagraph"/>
        <w:numPr>
          <w:ilvl w:val="0"/>
          <w:numId w:val="12"/>
        </w:numPr>
        <w:rPr>
          <w:rFonts w:cstheme="minorHAnsi"/>
          <w:szCs w:val="26"/>
          <w:lang w:val="en-US"/>
        </w:rPr>
      </w:pPr>
      <w:r>
        <w:rPr>
          <w:rFonts w:cstheme="minorHAnsi"/>
          <w:szCs w:val="26"/>
          <w:lang w:val="en-US"/>
        </w:rPr>
        <w:t>Capabilities (β = +0.0026, p = 0.321): Human capital</w:t>
      </w:r>
      <w:r w:rsidR="00624AB4">
        <w:rPr>
          <w:rFonts w:cstheme="minorHAnsi"/>
          <w:szCs w:val="26"/>
          <w:lang w:val="en-US"/>
        </w:rPr>
        <w:t xml:space="preserve"> and skills investments show no independent effect.</w:t>
      </w:r>
    </w:p>
    <w:p w:rsidR="008D2096" w:rsidRDefault="007B1607" w:rsidP="007B1607">
      <w:pPr>
        <w:pStyle w:val="ListParagraph"/>
        <w:numPr>
          <w:ilvl w:val="0"/>
          <w:numId w:val="12"/>
        </w:numPr>
        <w:rPr>
          <w:rFonts w:cstheme="minorHAnsi"/>
          <w:szCs w:val="26"/>
          <w:lang w:val="en-US"/>
        </w:rPr>
      </w:pPr>
      <w:r>
        <w:rPr>
          <w:rFonts w:cstheme="minorHAnsi"/>
          <w:szCs w:val="26"/>
          <w:lang w:val="en-US"/>
        </w:rPr>
        <w:t>Ecosystem Coordination (β = - 0.0074, p = 0.116): Partnership and platform orientation shows a marginally negative but non-significant association.</w:t>
      </w:r>
    </w:p>
    <w:p w:rsidR="007B1607" w:rsidRDefault="007B1607" w:rsidP="007B1607">
      <w:pPr>
        <w:rPr>
          <w:rFonts w:cstheme="minorHAnsi"/>
          <w:szCs w:val="26"/>
          <w:lang w:val="en-US"/>
        </w:rPr>
      </w:pPr>
      <w:r>
        <w:rPr>
          <w:rFonts w:cstheme="minorHAnsi"/>
          <w:szCs w:val="26"/>
          <w:lang w:val="en-US"/>
        </w:rPr>
        <w:t xml:space="preserve">This is a narrower and more specific finding than “digital orientation matters”. It suggests that where a real signal exists, it is concentrated in hard technical infrastructure rather than in the language of digital capability or ecosystem partnerships. This is theoretically plausible because: </w:t>
      </w:r>
    </w:p>
    <w:p w:rsidR="007B1607" w:rsidRDefault="007B1607" w:rsidP="007B1607">
      <w:pPr>
        <w:pStyle w:val="ListParagraph"/>
        <w:numPr>
          <w:ilvl w:val="0"/>
          <w:numId w:val="14"/>
        </w:numPr>
        <w:rPr>
          <w:rFonts w:cstheme="minorHAnsi"/>
          <w:szCs w:val="26"/>
          <w:lang w:val="en-US"/>
        </w:rPr>
      </w:pPr>
      <w:r>
        <w:rPr>
          <w:rFonts w:cstheme="minorHAnsi"/>
          <w:szCs w:val="26"/>
          <w:lang w:val="en-US"/>
        </w:rPr>
        <w:t>Infrastructure investment overlaps with ESG assessor criteria: Data governance, cybersecurity framework and automation systems are increasingly explicit components of ESG rating methodologies, particularly the governance pillar.</w:t>
      </w:r>
    </w:p>
    <w:p w:rsidR="00E3053D" w:rsidRDefault="00E3053D" w:rsidP="007B1607">
      <w:pPr>
        <w:pStyle w:val="ListParagraph"/>
        <w:numPr>
          <w:ilvl w:val="0"/>
          <w:numId w:val="14"/>
        </w:numPr>
        <w:rPr>
          <w:rFonts w:cstheme="minorHAnsi"/>
          <w:szCs w:val="26"/>
          <w:lang w:val="en-US"/>
        </w:rPr>
      </w:pPr>
      <w:r>
        <w:rPr>
          <w:rFonts w:cstheme="minorHAnsi"/>
          <w:szCs w:val="26"/>
          <w:lang w:val="en-US"/>
        </w:rPr>
        <w:t>Cybersecurity and data privacy have become standalone ESG issues following high-profile breaches and regulatory development (GDPR, India’s Digital Personal Data Protection Act).</w:t>
      </w:r>
    </w:p>
    <w:p w:rsidR="00E3053D" w:rsidRDefault="00E3053D" w:rsidP="007B1607">
      <w:pPr>
        <w:pStyle w:val="ListParagraph"/>
        <w:numPr>
          <w:ilvl w:val="0"/>
          <w:numId w:val="14"/>
        </w:numPr>
        <w:rPr>
          <w:rFonts w:cstheme="minorHAnsi"/>
          <w:szCs w:val="26"/>
          <w:lang w:val="en-US"/>
        </w:rPr>
      </w:pPr>
      <w:r>
        <w:rPr>
          <w:rFonts w:cstheme="minorHAnsi"/>
          <w:szCs w:val="26"/>
          <w:lang w:val="en-US"/>
        </w:rPr>
        <w:t>Automation and efficiency gains directly reduce resource consumption, waste and emissions clear Environmental pillar impacts.</w:t>
      </w:r>
    </w:p>
    <w:p w:rsidR="007B1607" w:rsidRDefault="00E3053D" w:rsidP="00E3053D">
      <w:pPr>
        <w:pStyle w:val="ListParagraph"/>
        <w:numPr>
          <w:ilvl w:val="0"/>
          <w:numId w:val="14"/>
        </w:numPr>
        <w:rPr>
          <w:rFonts w:cstheme="minorHAnsi"/>
          <w:szCs w:val="26"/>
          <w:lang w:val="en-US"/>
        </w:rPr>
      </w:pPr>
      <w:r>
        <w:rPr>
          <w:rFonts w:cstheme="minorHAnsi"/>
          <w:szCs w:val="26"/>
          <w:lang w:val="en-US"/>
        </w:rPr>
        <w:t>Transparent data systems enable better ESG data collection, verification and reporting, improving disclosure quality.</w:t>
      </w:r>
    </w:p>
    <w:p w:rsidR="00E3053D" w:rsidRDefault="00E3053D" w:rsidP="00E3053D">
      <w:pPr>
        <w:pStyle w:val="ListParagraph"/>
        <w:rPr>
          <w:rFonts w:cstheme="minorHAnsi"/>
          <w:szCs w:val="26"/>
          <w:lang w:val="en-US"/>
        </w:rPr>
      </w:pPr>
    </w:p>
    <w:p w:rsidR="00E3053D" w:rsidRDefault="00E3053D" w:rsidP="00E3053D">
      <w:pPr>
        <w:rPr>
          <w:rFonts w:ascii="Times New Roman" w:hAnsi="Times New Roman" w:cs="Times New Roman"/>
          <w:sz w:val="24"/>
          <w:szCs w:val="26"/>
          <w:lang w:val="en-US"/>
        </w:rPr>
      </w:pPr>
      <w:r w:rsidRPr="00E3053D">
        <w:rPr>
          <w:rFonts w:ascii="Times New Roman" w:hAnsi="Times New Roman" w:cs="Times New Roman"/>
          <w:sz w:val="24"/>
          <w:szCs w:val="26"/>
          <w:lang w:val="en-US"/>
        </w:rPr>
        <w:t>4.3.4 Answer to Secondary RQ1</w:t>
      </w:r>
    </w:p>
    <w:p w:rsidR="00E3053D" w:rsidRDefault="00E3053D" w:rsidP="00E3053D">
      <w:pPr>
        <w:rPr>
          <w:rFonts w:cs="Times New Roman"/>
          <w:szCs w:val="26"/>
          <w:lang w:val="en-US"/>
        </w:rPr>
      </w:pPr>
      <w:r>
        <w:rPr>
          <w:rFonts w:cs="Times New Roman"/>
          <w:szCs w:val="26"/>
          <w:lang w:val="en-US"/>
        </w:rPr>
        <w:t>Digital Architecture Configuration is the only dimension with a significant independent relationship with ESG performance (β = 0.0032, p = 0.0008). Digital Technology Scope, Digital Capabilities and Digital Ecosystem Coordination show no significant independent effects once industry effects</w:t>
      </w:r>
      <w:r w:rsidR="00EE368D">
        <w:rPr>
          <w:rFonts w:cs="Times New Roman"/>
          <w:szCs w:val="26"/>
          <w:lang w:val="en-US"/>
        </w:rPr>
        <w:t xml:space="preserve"> are controlled for. This suggests that infrastructure specific digital investment not broad digital rhetoric or partnership activity is what matters for ESG outcomes. The finding implies that companies seeking to improve ESG ratings through digital means should prioritize foundational IT infrastructure, cybersecurity and data governance over technology breadth or ecosystem expansion.</w:t>
      </w:r>
    </w:p>
    <w:p w:rsidR="00E3053D" w:rsidRDefault="00A9213C" w:rsidP="00E3053D">
      <w:pPr>
        <w:rPr>
          <w:rFonts w:ascii="Times New Roman" w:hAnsi="Times New Roman" w:cs="Times New Roman"/>
          <w:sz w:val="26"/>
          <w:szCs w:val="26"/>
          <w:lang w:val="en-US"/>
        </w:rPr>
      </w:pPr>
      <w:r>
        <w:rPr>
          <w:rFonts w:ascii="Times New Roman" w:hAnsi="Times New Roman" w:cs="Times New Roman"/>
          <w:sz w:val="26"/>
          <w:szCs w:val="26"/>
          <w:lang w:val="en-US"/>
        </w:rPr>
        <w:lastRenderedPageBreak/>
        <w:t>4.4 Secondary</w:t>
      </w:r>
      <w:r w:rsidRPr="00A9213C">
        <w:rPr>
          <w:rFonts w:ascii="Times New Roman" w:hAnsi="Times New Roman" w:cs="Times New Roman"/>
          <w:sz w:val="26"/>
          <w:szCs w:val="26"/>
          <w:lang w:val="en-US"/>
        </w:rPr>
        <w:t xml:space="preserve"> RQ2: Does the Relationship Vary by Sector</w:t>
      </w:r>
      <w:r>
        <w:rPr>
          <w:rFonts w:ascii="Times New Roman" w:hAnsi="Times New Roman" w:cs="Times New Roman"/>
          <w:sz w:val="26"/>
          <w:szCs w:val="26"/>
          <w:lang w:val="en-US"/>
        </w:rPr>
        <w:t xml:space="preserve">? </w:t>
      </w:r>
    </w:p>
    <w:p w:rsidR="00A9213C" w:rsidRDefault="00A9213C" w:rsidP="00E3053D">
      <w:pPr>
        <w:rPr>
          <w:rFonts w:ascii="Times New Roman" w:hAnsi="Times New Roman" w:cs="Times New Roman"/>
          <w:sz w:val="26"/>
          <w:szCs w:val="26"/>
          <w:lang w:val="en-US"/>
        </w:rPr>
      </w:pPr>
      <w:r>
        <w:rPr>
          <w:rFonts w:ascii="Times New Roman" w:hAnsi="Times New Roman" w:cs="Times New Roman"/>
          <w:sz w:val="26"/>
          <w:szCs w:val="26"/>
          <w:lang w:val="en-US"/>
        </w:rPr>
        <w:t>4.4.1 Industry level Correlations</w:t>
      </w:r>
    </w:p>
    <w:p w:rsidR="00A9213C" w:rsidRDefault="00A9213C" w:rsidP="00E3053D">
      <w:pPr>
        <w:rPr>
          <w:rFonts w:ascii="Times New Roman" w:hAnsi="Times New Roman" w:cs="Times New Roman"/>
          <w:sz w:val="26"/>
          <w:szCs w:val="26"/>
          <w:lang w:val="en-US"/>
        </w:rPr>
      </w:pPr>
    </w:p>
    <w:tbl>
      <w:tblPr>
        <w:tblStyle w:val="TableGrid"/>
        <w:tblW w:w="0" w:type="auto"/>
        <w:jc w:val="center"/>
        <w:tblLook w:val="04A0" w:firstRow="1" w:lastRow="0" w:firstColumn="1" w:lastColumn="0" w:noHBand="0" w:noVBand="1"/>
      </w:tblPr>
      <w:tblGrid>
        <w:gridCol w:w="1651"/>
        <w:gridCol w:w="2136"/>
        <w:gridCol w:w="1627"/>
        <w:gridCol w:w="1674"/>
        <w:gridCol w:w="1654"/>
        <w:gridCol w:w="1714"/>
      </w:tblGrid>
      <w:tr w:rsidR="00A9213C" w:rsidTr="00C21AEB">
        <w:trPr>
          <w:jc w:val="center"/>
        </w:trPr>
        <w:tc>
          <w:tcPr>
            <w:tcW w:w="1742" w:type="dxa"/>
          </w:tcPr>
          <w:p w:rsidR="00A9213C" w:rsidRPr="00C21AEB" w:rsidRDefault="004B0D9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Rank</w:t>
            </w:r>
          </w:p>
        </w:tc>
        <w:tc>
          <w:tcPr>
            <w:tcW w:w="1742" w:type="dxa"/>
          </w:tcPr>
          <w:p w:rsidR="00A9213C" w:rsidRPr="00C21AEB" w:rsidRDefault="004B0D9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Industry</w:t>
            </w:r>
          </w:p>
        </w:tc>
        <w:tc>
          <w:tcPr>
            <w:tcW w:w="1743" w:type="dxa"/>
          </w:tcPr>
          <w:p w:rsidR="00A9213C" w:rsidRPr="00C21AEB" w:rsidRDefault="004B0D9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w:t>
            </w:r>
          </w:p>
        </w:tc>
        <w:tc>
          <w:tcPr>
            <w:tcW w:w="1743" w:type="dxa"/>
          </w:tcPr>
          <w:p w:rsidR="00A9213C" w:rsidRPr="00C21AEB" w:rsidRDefault="004B0D9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Pearson r</w:t>
            </w:r>
          </w:p>
        </w:tc>
        <w:tc>
          <w:tcPr>
            <w:tcW w:w="1743" w:type="dxa"/>
          </w:tcPr>
          <w:p w:rsidR="00A9213C" w:rsidRPr="00C21AEB" w:rsidRDefault="004B0D9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P - value</w:t>
            </w:r>
          </w:p>
        </w:tc>
        <w:tc>
          <w:tcPr>
            <w:tcW w:w="1743" w:type="dxa"/>
          </w:tcPr>
          <w:p w:rsidR="00A9213C" w:rsidRPr="00C21AEB" w:rsidRDefault="004B0D9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Significant (p &lt; 0.05)</w:t>
            </w:r>
          </w:p>
        </w:tc>
      </w:tr>
      <w:tr w:rsidR="00A9213C" w:rsidTr="00C21AEB">
        <w:trPr>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Media Entertainment &amp; Publication</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5</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+0.573</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0.312</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2</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Construction</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12</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+0.543</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0.068</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 (marginally)</w:t>
            </w:r>
          </w:p>
        </w:tc>
      </w:tr>
      <w:tr w:rsidR="00A9213C" w:rsidTr="00C21AEB">
        <w:trPr>
          <w:trHeight w:val="431"/>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3</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Telecommunication</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10</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+0.422</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0.225</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408"/>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4</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Capital Goods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53</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+0.384</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0.005</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Yes</w:t>
            </w:r>
          </w:p>
        </w:tc>
      </w:tr>
      <w:tr w:rsidR="00A9213C" w:rsidTr="00C21AEB">
        <w:trPr>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5</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Automobile and Auto Components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28</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+0.340</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0.077</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 (marginally)</w:t>
            </w:r>
          </w:p>
        </w:tc>
      </w:tr>
      <w:tr w:rsidR="00A9213C" w:rsidTr="00C21AEB">
        <w:trPr>
          <w:trHeight w:val="422"/>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6</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Power</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15</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+0.329</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0.231</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7</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Fast Moving Consumer Goods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28</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+0.241</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0.217</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421"/>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8</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Realty</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10</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+0.223</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0.536</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414"/>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9</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Healthcare</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43</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+0.184</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0.239</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10</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Oil Gas &amp; Consumable Fuels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18</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+0.097</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0.703</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428"/>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11</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Chemicals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27</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+0.076</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0.705</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392"/>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12</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Financial Services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84</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+0.036</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0.742</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425"/>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13</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Consumer Services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19</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-0.010</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0.968</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14</w:t>
            </w:r>
          </w:p>
        </w:tc>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Information T</w:t>
            </w:r>
            <w:r w:rsidR="00A86060" w:rsidRPr="00C21AEB">
              <w:rPr>
                <w:rFonts w:ascii="Times New Roman" w:hAnsi="Times New Roman" w:cs="Times New Roman"/>
                <w:sz w:val="24"/>
                <w:szCs w:val="24"/>
                <w:lang w:val="en-US"/>
              </w:rPr>
              <w:t>echnology</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23</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-0.023</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0.916</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412"/>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15</w:t>
            </w:r>
          </w:p>
        </w:tc>
        <w:tc>
          <w:tcPr>
            <w:tcW w:w="1742"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Consumer Durables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19</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-0.215</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0.376</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16</w:t>
            </w:r>
          </w:p>
        </w:tc>
        <w:tc>
          <w:tcPr>
            <w:tcW w:w="1742"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Construction Materials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8</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-0.295</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0.480</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426"/>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17</w:t>
            </w:r>
          </w:p>
        </w:tc>
        <w:tc>
          <w:tcPr>
            <w:tcW w:w="1742"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Metals &amp; Mining</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16</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-0.308</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0.245</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418"/>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18</w:t>
            </w:r>
          </w:p>
        </w:tc>
        <w:tc>
          <w:tcPr>
            <w:tcW w:w="1742"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Textiles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6</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-0.427</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0.399</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r w:rsidR="00A9213C" w:rsidTr="00C21AEB">
        <w:trPr>
          <w:trHeight w:val="410"/>
          <w:jc w:val="center"/>
        </w:trPr>
        <w:tc>
          <w:tcPr>
            <w:tcW w:w="1742" w:type="dxa"/>
          </w:tcPr>
          <w:p w:rsidR="00A9213C" w:rsidRPr="00C21AEB" w:rsidRDefault="001A70D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19</w:t>
            </w:r>
          </w:p>
        </w:tc>
        <w:tc>
          <w:tcPr>
            <w:tcW w:w="1742"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Services</w:t>
            </w:r>
          </w:p>
        </w:tc>
        <w:tc>
          <w:tcPr>
            <w:tcW w:w="1743" w:type="dxa"/>
          </w:tcPr>
          <w:p w:rsidR="00A9213C" w:rsidRPr="00C21AEB" w:rsidRDefault="00A86060"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9</w:t>
            </w:r>
          </w:p>
        </w:tc>
        <w:tc>
          <w:tcPr>
            <w:tcW w:w="1743" w:type="dxa"/>
          </w:tcPr>
          <w:p w:rsidR="00A9213C" w:rsidRPr="00C21AEB" w:rsidRDefault="00FD0981"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-0.556</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0.120</w:t>
            </w:r>
          </w:p>
        </w:tc>
        <w:tc>
          <w:tcPr>
            <w:tcW w:w="1743" w:type="dxa"/>
          </w:tcPr>
          <w:p w:rsidR="00A9213C" w:rsidRPr="00C21AEB" w:rsidRDefault="0014771A" w:rsidP="00C21AEB">
            <w:pPr>
              <w:jc w:val="center"/>
              <w:rPr>
                <w:rFonts w:ascii="Times New Roman" w:hAnsi="Times New Roman" w:cs="Times New Roman"/>
                <w:sz w:val="24"/>
                <w:szCs w:val="24"/>
                <w:lang w:val="en-US"/>
              </w:rPr>
            </w:pPr>
            <w:r w:rsidRPr="00C21AEB">
              <w:rPr>
                <w:rFonts w:ascii="Times New Roman" w:hAnsi="Times New Roman" w:cs="Times New Roman"/>
                <w:sz w:val="24"/>
                <w:szCs w:val="24"/>
                <w:lang w:val="en-US"/>
              </w:rPr>
              <w:t>No</w:t>
            </w:r>
          </w:p>
        </w:tc>
      </w:tr>
    </w:tbl>
    <w:p w:rsidR="00A9213C" w:rsidRPr="00A9213C" w:rsidRDefault="00A9213C" w:rsidP="00E3053D">
      <w:pPr>
        <w:rPr>
          <w:rFonts w:ascii="Times New Roman" w:hAnsi="Times New Roman" w:cs="Times New Roman"/>
          <w:sz w:val="26"/>
          <w:szCs w:val="26"/>
          <w:lang w:val="en-US"/>
        </w:rPr>
      </w:pPr>
    </w:p>
    <w:p w:rsidR="00E3053D" w:rsidRPr="002B1B9B" w:rsidRDefault="008310B9" w:rsidP="00E3053D">
      <w:pPr>
        <w:rPr>
          <w:rFonts w:ascii="Times New Roman" w:hAnsi="Times New Roman" w:cs="Times New Roman"/>
          <w:sz w:val="26"/>
          <w:szCs w:val="26"/>
          <w:lang w:val="en-US"/>
        </w:rPr>
      </w:pPr>
      <w:r>
        <w:rPr>
          <w:rFonts w:ascii="Times New Roman" w:hAnsi="Times New Roman" w:cs="Times New Roman"/>
          <w:sz w:val="26"/>
          <w:szCs w:val="26"/>
          <w:lang w:val="en-US"/>
        </w:rPr>
        <w:t>4.4.2</w:t>
      </w:r>
      <w:r w:rsidR="002B1B9B" w:rsidRPr="002B1B9B">
        <w:rPr>
          <w:rFonts w:ascii="Times New Roman" w:hAnsi="Times New Roman" w:cs="Times New Roman"/>
          <w:sz w:val="26"/>
          <w:szCs w:val="26"/>
          <w:lang w:val="en-US"/>
        </w:rPr>
        <w:t xml:space="preserve"> Key Findings</w:t>
      </w:r>
    </w:p>
    <w:p w:rsidR="00E3053D" w:rsidRDefault="002B1B9B" w:rsidP="00E3053D">
      <w:pPr>
        <w:rPr>
          <w:rFonts w:cs="Times New Roman"/>
          <w:szCs w:val="26"/>
          <w:lang w:val="en-US"/>
        </w:rPr>
      </w:pPr>
      <w:r>
        <w:rPr>
          <w:rFonts w:cs="Times New Roman"/>
          <w:szCs w:val="26"/>
          <w:lang w:val="en-US"/>
        </w:rPr>
        <w:t>Only One industry shows a statistically significant positive relationship: Capital Goods (r = 0.384, p = 0.005, N = 53). No other industry reaches significance at the 5% level.</w:t>
      </w:r>
    </w:p>
    <w:p w:rsidR="002B1B9B" w:rsidRDefault="006B4A08" w:rsidP="006B4A08">
      <w:pPr>
        <w:rPr>
          <w:rFonts w:cs="Times New Roman"/>
          <w:szCs w:val="26"/>
          <w:lang w:val="en-US"/>
        </w:rPr>
      </w:pPr>
      <w:r>
        <w:rPr>
          <w:rFonts w:cs="Times New Roman"/>
          <w:szCs w:val="26"/>
          <w:lang w:val="en-US"/>
        </w:rPr>
        <w:t xml:space="preserve">The most surprising non-result is Information Technology (r = -0.023, p = 0.916), the sector one would most expect to show a strong positive link given its highest digital intensity and highest average ESG rating. The near-zero correlation suggests that within the IT sector, variation in digital orientation does </w:t>
      </w:r>
      <w:r w:rsidR="00750ECC">
        <w:rPr>
          <w:rFonts w:cs="Times New Roman"/>
          <w:szCs w:val="26"/>
          <w:lang w:val="en-US"/>
        </w:rPr>
        <w:t xml:space="preserve">not </w:t>
      </w:r>
      <w:r>
        <w:rPr>
          <w:rFonts w:cs="Times New Roman"/>
          <w:szCs w:val="26"/>
          <w:lang w:val="en-US"/>
        </w:rPr>
        <w:t>predict variation in ESG performance. This is consistent with a ceiling effect, IT companies already score high on both dimensions leaving little residual variation to correlate.</w:t>
      </w:r>
      <w:r w:rsidR="008310B9">
        <w:rPr>
          <w:rFonts w:cs="Times New Roman"/>
          <w:szCs w:val="26"/>
          <w:lang w:val="en-US"/>
        </w:rPr>
        <w:t xml:space="preserve"> </w:t>
      </w:r>
    </w:p>
    <w:p w:rsidR="002B1B9B" w:rsidRDefault="008310B9" w:rsidP="008310B9">
      <w:pPr>
        <w:rPr>
          <w:rFonts w:cs="Times New Roman"/>
          <w:szCs w:val="26"/>
          <w:lang w:val="en-US"/>
        </w:rPr>
      </w:pPr>
      <w:r>
        <w:rPr>
          <w:rFonts w:cs="Times New Roman"/>
          <w:szCs w:val="26"/>
          <w:lang w:val="en-US"/>
        </w:rPr>
        <w:lastRenderedPageBreak/>
        <w:t>Several industries show negative correlations, including Metals &amp; Mining (r = - 0.308), Services (r = - 0.556), Textiles (r = - 0.427) and Consumer Durables (r = - 0.215), though none reach statistical significance due to small sample sizes.</w:t>
      </w:r>
    </w:p>
    <w:p w:rsidR="008310B9" w:rsidRDefault="008310B9" w:rsidP="008310B9">
      <w:pPr>
        <w:rPr>
          <w:rFonts w:cs="Times New Roman"/>
          <w:szCs w:val="26"/>
          <w:lang w:val="en-US"/>
        </w:rPr>
      </w:pPr>
      <w:r>
        <w:rPr>
          <w:rFonts w:cs="Times New Roman"/>
          <w:szCs w:val="26"/>
          <w:lang w:val="en-US"/>
        </w:rPr>
        <w:t>Marginally positive correlations appear in construction (r = 0.543, p = 0.068) and Automobile and Auto Components (r = 0.340, p = 0.077), suggesting possible relationships that may become significant with larger samples.</w:t>
      </w:r>
    </w:p>
    <w:p w:rsidR="008310B9" w:rsidRDefault="008310B9" w:rsidP="008310B9">
      <w:pPr>
        <w:rPr>
          <w:rFonts w:cs="Times New Roman"/>
          <w:szCs w:val="26"/>
          <w:lang w:val="en-US"/>
        </w:rPr>
      </w:pPr>
    </w:p>
    <w:p w:rsidR="008310B9" w:rsidRDefault="008310B9" w:rsidP="008310B9">
      <w:pPr>
        <w:rPr>
          <w:rFonts w:ascii="Times New Roman" w:hAnsi="Times New Roman" w:cs="Times New Roman"/>
          <w:sz w:val="26"/>
          <w:szCs w:val="26"/>
          <w:lang w:val="en-US"/>
        </w:rPr>
      </w:pPr>
      <w:r>
        <w:rPr>
          <w:rFonts w:ascii="Times New Roman" w:hAnsi="Times New Roman" w:cs="Times New Roman"/>
          <w:sz w:val="26"/>
          <w:szCs w:val="26"/>
          <w:lang w:val="en-US"/>
        </w:rPr>
        <w:t>4.4.3 Why Capital Goods</w:t>
      </w:r>
      <w:r w:rsidRPr="008310B9">
        <w:rPr>
          <w:rFonts w:ascii="Times New Roman" w:hAnsi="Times New Roman" w:cs="Times New Roman"/>
          <w:sz w:val="26"/>
          <w:szCs w:val="26"/>
          <w:lang w:val="en-US"/>
        </w:rPr>
        <w:t>?</w:t>
      </w:r>
    </w:p>
    <w:p w:rsidR="008310B9" w:rsidRDefault="008310B9" w:rsidP="008310B9">
      <w:pPr>
        <w:rPr>
          <w:rFonts w:cstheme="minorHAnsi"/>
          <w:szCs w:val="26"/>
          <w:lang w:val="en-US"/>
        </w:rPr>
      </w:pPr>
      <w:r>
        <w:rPr>
          <w:rFonts w:cstheme="minorHAnsi"/>
          <w:szCs w:val="26"/>
          <w:lang w:val="en-US"/>
        </w:rPr>
        <w:t xml:space="preserve">The Capital Goods </w:t>
      </w:r>
      <w:r w:rsidR="009D01BC">
        <w:rPr>
          <w:rFonts w:cstheme="minorHAnsi"/>
          <w:szCs w:val="26"/>
          <w:lang w:val="en-US"/>
        </w:rPr>
        <w:t>sector stands out as the only industry with a statistically significant DO ESG relationship. Several mechanisms may explain this pattern:</w:t>
      </w:r>
    </w:p>
    <w:p w:rsidR="009D01BC" w:rsidRPr="00754BC8" w:rsidRDefault="009D01BC" w:rsidP="00754BC8">
      <w:pPr>
        <w:pStyle w:val="ListParagraph"/>
        <w:numPr>
          <w:ilvl w:val="0"/>
          <w:numId w:val="16"/>
        </w:numPr>
        <w:rPr>
          <w:rFonts w:cstheme="minorHAnsi"/>
          <w:szCs w:val="26"/>
          <w:lang w:val="en-US"/>
        </w:rPr>
      </w:pPr>
      <w:r>
        <w:rPr>
          <w:rFonts w:cstheme="minorHAnsi"/>
          <w:szCs w:val="26"/>
          <w:lang w:val="en-US"/>
        </w:rPr>
        <w:t>Process automation directly reduces environmental footprint: Manufacturing automation, digital twins and predictive maintenance in capital goods companies directly reduce energy consumption, material waste and emissions.</w:t>
      </w:r>
    </w:p>
    <w:p w:rsidR="009D01BC" w:rsidRPr="00754BC8" w:rsidRDefault="009D01BC" w:rsidP="00754BC8">
      <w:pPr>
        <w:pStyle w:val="ListParagraph"/>
        <w:numPr>
          <w:ilvl w:val="0"/>
          <w:numId w:val="16"/>
        </w:numPr>
        <w:rPr>
          <w:rFonts w:cstheme="minorHAnsi"/>
          <w:szCs w:val="26"/>
          <w:lang w:val="en-US"/>
        </w:rPr>
      </w:pPr>
      <w:r>
        <w:rPr>
          <w:rFonts w:cstheme="minorHAnsi"/>
          <w:szCs w:val="26"/>
          <w:lang w:val="en-US"/>
        </w:rPr>
        <w:t>Regulatory pressure in manufacturing: Capital goods companies face increasing environmental regulations (BRSR, EU CBAM) that create incentives to deploy digital tools for compliance and reporting.</w:t>
      </w:r>
    </w:p>
    <w:p w:rsidR="009D01BC" w:rsidRDefault="009D01BC" w:rsidP="009D01BC">
      <w:pPr>
        <w:pStyle w:val="ListParagraph"/>
        <w:numPr>
          <w:ilvl w:val="0"/>
          <w:numId w:val="16"/>
        </w:numPr>
        <w:rPr>
          <w:rFonts w:cstheme="minorHAnsi"/>
          <w:szCs w:val="26"/>
          <w:lang w:val="en-US"/>
        </w:rPr>
      </w:pPr>
      <w:r>
        <w:rPr>
          <w:rFonts w:cstheme="minorHAnsi"/>
          <w:szCs w:val="26"/>
          <w:lang w:val="en-US"/>
        </w:rPr>
        <w:t>Moderate baseline digital intensity creates room for improvement: Unlike IT (already saturated) or Metals &amp; Mining (structurally constrained), Capital Goods has moderate digital intensity where marginal digital investments can still produce measurable ESG returns.</w:t>
      </w:r>
    </w:p>
    <w:p w:rsidR="008F248B" w:rsidRDefault="008F248B" w:rsidP="008F248B">
      <w:pPr>
        <w:rPr>
          <w:rFonts w:cstheme="minorHAnsi"/>
          <w:szCs w:val="26"/>
          <w:lang w:val="en-US"/>
        </w:rPr>
      </w:pPr>
    </w:p>
    <w:p w:rsidR="008F248B" w:rsidRPr="008F248B" w:rsidRDefault="008F248B" w:rsidP="008F248B">
      <w:pPr>
        <w:rPr>
          <w:rFonts w:ascii="Times New Roman" w:hAnsi="Times New Roman" w:cs="Times New Roman"/>
          <w:sz w:val="26"/>
          <w:szCs w:val="26"/>
          <w:lang w:val="en-US"/>
        </w:rPr>
      </w:pPr>
      <w:r w:rsidRPr="008F248B">
        <w:rPr>
          <w:rFonts w:ascii="Times New Roman" w:hAnsi="Times New Roman" w:cs="Times New Roman"/>
          <w:sz w:val="26"/>
          <w:szCs w:val="26"/>
          <w:lang w:val="en-US"/>
        </w:rPr>
        <w:t>4.4.4 Why not Information Technology</w:t>
      </w:r>
    </w:p>
    <w:p w:rsidR="009D01BC" w:rsidRDefault="008F248B" w:rsidP="009D01BC">
      <w:pPr>
        <w:rPr>
          <w:rFonts w:cstheme="minorHAnsi"/>
          <w:szCs w:val="26"/>
          <w:lang w:val="en-US"/>
        </w:rPr>
      </w:pPr>
      <w:r>
        <w:rPr>
          <w:rFonts w:cstheme="minorHAnsi"/>
          <w:szCs w:val="26"/>
          <w:lang w:val="en-US"/>
        </w:rPr>
        <w:t xml:space="preserve">The Information Technology sector’s null result (r = - 0.023, p = 0.916) is counterintuitive but explicable: </w:t>
      </w:r>
    </w:p>
    <w:p w:rsidR="00072105" w:rsidRPr="00754BC8" w:rsidRDefault="008F248B" w:rsidP="00754BC8">
      <w:pPr>
        <w:pStyle w:val="ListParagraph"/>
        <w:numPr>
          <w:ilvl w:val="0"/>
          <w:numId w:val="20"/>
        </w:numPr>
        <w:rPr>
          <w:rFonts w:cstheme="minorHAnsi"/>
          <w:szCs w:val="26"/>
          <w:lang w:val="en-US"/>
        </w:rPr>
      </w:pPr>
      <w:r>
        <w:rPr>
          <w:rFonts w:cstheme="minorHAnsi"/>
          <w:szCs w:val="26"/>
          <w:lang w:val="en-US"/>
        </w:rPr>
        <w:t>Ceiling effect on both variables: IT companies cluster at the high end of both DO (mean = 7.73, σ = 1.83) and ESG (mean = 66.56, σ = 6.18). with limited variation correlation is mechanically suppressed.</w:t>
      </w:r>
    </w:p>
    <w:p w:rsidR="00072105" w:rsidRPr="00754BC8" w:rsidRDefault="008F248B" w:rsidP="00754BC8">
      <w:pPr>
        <w:pStyle w:val="ListParagraph"/>
        <w:numPr>
          <w:ilvl w:val="0"/>
          <w:numId w:val="20"/>
        </w:numPr>
        <w:rPr>
          <w:rFonts w:cstheme="minorHAnsi"/>
          <w:szCs w:val="26"/>
          <w:lang w:val="en-US"/>
        </w:rPr>
      </w:pPr>
      <w:r>
        <w:rPr>
          <w:rFonts w:cstheme="minorHAnsi"/>
          <w:szCs w:val="26"/>
          <w:lang w:val="en-US"/>
        </w:rPr>
        <w:t>ESG driven by non-digital factors: within IT, ESG variation may be driven by labor practices, data privacy incidents, board diversity and client concentration factors largely orthogonal to digital orientation.</w:t>
      </w:r>
    </w:p>
    <w:p w:rsidR="00072105" w:rsidRPr="00754BC8" w:rsidRDefault="008F248B" w:rsidP="00754BC8">
      <w:pPr>
        <w:pStyle w:val="ListParagraph"/>
        <w:numPr>
          <w:ilvl w:val="0"/>
          <w:numId w:val="20"/>
        </w:numPr>
        <w:rPr>
          <w:rFonts w:cstheme="minorHAnsi"/>
          <w:szCs w:val="26"/>
          <w:lang w:val="en-US"/>
        </w:rPr>
      </w:pPr>
      <w:r>
        <w:rPr>
          <w:rFonts w:cstheme="minorHAnsi"/>
          <w:szCs w:val="26"/>
          <w:lang w:val="en-US"/>
        </w:rPr>
        <w:t xml:space="preserve">Digital as table stakes: In IT, digital orientation is not a strategic differentiator but the baseline business model. All IT companies are digitally intensive, variation in digital articulation may reflected reporting style rather </w:t>
      </w:r>
      <w:r w:rsidR="00072105">
        <w:rPr>
          <w:rFonts w:cstheme="minorHAnsi"/>
          <w:szCs w:val="26"/>
          <w:lang w:val="en-US"/>
        </w:rPr>
        <w:t>than substantive difference.</w:t>
      </w:r>
    </w:p>
    <w:p w:rsidR="008F248B" w:rsidRPr="00072105" w:rsidRDefault="00072105" w:rsidP="00072105">
      <w:pPr>
        <w:pStyle w:val="ListParagraph"/>
        <w:numPr>
          <w:ilvl w:val="0"/>
          <w:numId w:val="20"/>
        </w:numPr>
        <w:rPr>
          <w:rFonts w:cstheme="minorHAnsi"/>
          <w:szCs w:val="26"/>
          <w:lang w:val="en-US"/>
        </w:rPr>
      </w:pPr>
      <w:r>
        <w:rPr>
          <w:rFonts w:cstheme="minorHAnsi"/>
          <w:szCs w:val="26"/>
          <w:lang w:val="en-US"/>
        </w:rPr>
        <w:t>Environment footprint is small: IT companies have minimal scope 1 and 2 emissions, so digital investments cannot produce large environmental improvements.</w:t>
      </w:r>
    </w:p>
    <w:p w:rsidR="003B73C0" w:rsidRDefault="003B73C0" w:rsidP="00E3053D">
      <w:pPr>
        <w:rPr>
          <w:rFonts w:ascii="Times New Roman" w:hAnsi="Times New Roman" w:cs="Times New Roman"/>
          <w:sz w:val="24"/>
          <w:szCs w:val="26"/>
          <w:lang w:val="en-US"/>
        </w:rPr>
      </w:pPr>
      <w:r w:rsidRPr="003B73C0">
        <w:rPr>
          <w:rFonts w:ascii="Times New Roman" w:hAnsi="Times New Roman" w:cs="Times New Roman"/>
          <w:sz w:val="24"/>
          <w:szCs w:val="26"/>
          <w:lang w:val="en-US"/>
        </w:rPr>
        <w:t>4.4.5 Answer to Secondary RQ2</w:t>
      </w:r>
    </w:p>
    <w:p w:rsidR="008F248B" w:rsidRPr="003B73C0" w:rsidRDefault="003B73C0" w:rsidP="00E3053D">
      <w:pPr>
        <w:rPr>
          <w:rFonts w:ascii="Times New Roman" w:hAnsi="Times New Roman" w:cs="Times New Roman"/>
          <w:sz w:val="24"/>
          <w:szCs w:val="26"/>
          <w:lang w:val="en-US"/>
        </w:rPr>
      </w:pPr>
      <w:r>
        <w:rPr>
          <w:rFonts w:cs="Times New Roman"/>
          <w:szCs w:val="26"/>
          <w:lang w:val="en-US"/>
        </w:rPr>
        <w:t>Yes, the relationship varies dramatically across sectors. Only Capital Goods shows a statistically significant, positive DO-ESG relationship (r = 0.384, p = 0.005). No other industry reaches significance, including</w:t>
      </w:r>
      <w:r w:rsidR="00672971">
        <w:rPr>
          <w:rFonts w:cs="Times New Roman"/>
          <w:szCs w:val="26"/>
          <w:lang w:val="en-US"/>
        </w:rPr>
        <w:t xml:space="preserve"> Information Technology (r = - 0.023, p = 0.916) the sector one would most expect to show a strong link. Several industries (Metals &amp; Mining, Consumer Durables, Services Textiles) show negative, non-significant correlations. This confirms from a different analytical angle that the aggregate DO-ESG relationship is not a broad, economy wide pattern but is concentrated in a single sector where process automation and digital infrastructure directly enable environmental and governance improvements. </w:t>
      </w:r>
      <w:r w:rsidRPr="003B73C0">
        <w:rPr>
          <w:rFonts w:ascii="Times New Roman" w:hAnsi="Times New Roman" w:cs="Times New Roman"/>
          <w:sz w:val="24"/>
          <w:szCs w:val="26"/>
          <w:lang w:val="en-US"/>
        </w:rPr>
        <w:t xml:space="preserve"> </w:t>
      </w:r>
    </w:p>
    <w:p w:rsidR="007B1607" w:rsidRPr="00DB45FD" w:rsidRDefault="00754BC8" w:rsidP="007B1607">
      <w:pPr>
        <w:rPr>
          <w:rFonts w:ascii="Times New Roman" w:hAnsi="Times New Roman" w:cs="Times New Roman"/>
          <w:sz w:val="26"/>
          <w:szCs w:val="26"/>
          <w:lang w:val="en-US"/>
        </w:rPr>
      </w:pPr>
      <w:r w:rsidRPr="00DB45FD">
        <w:rPr>
          <w:rFonts w:ascii="Times New Roman" w:hAnsi="Times New Roman" w:cs="Times New Roman"/>
          <w:sz w:val="26"/>
          <w:szCs w:val="26"/>
          <w:lang w:val="en-US"/>
        </w:rPr>
        <w:t>4.5 Secondary RQ3: Divergence Analysis</w:t>
      </w:r>
    </w:p>
    <w:p w:rsidR="00DA5398" w:rsidRDefault="00DB45FD" w:rsidP="0054615C">
      <w:pPr>
        <w:rPr>
          <w:rFonts w:ascii="Times New Roman" w:hAnsi="Times New Roman" w:cs="Times New Roman"/>
          <w:sz w:val="24"/>
          <w:szCs w:val="26"/>
          <w:lang w:val="en-US"/>
        </w:rPr>
      </w:pPr>
      <w:r>
        <w:rPr>
          <w:rFonts w:ascii="Times New Roman" w:hAnsi="Times New Roman" w:cs="Times New Roman"/>
          <w:sz w:val="24"/>
          <w:szCs w:val="26"/>
          <w:lang w:val="en-US"/>
        </w:rPr>
        <w:t xml:space="preserve">4.5.1 </w:t>
      </w:r>
      <w:r w:rsidRPr="00DB45FD">
        <w:rPr>
          <w:rFonts w:ascii="Times New Roman" w:hAnsi="Times New Roman" w:cs="Times New Roman"/>
          <w:sz w:val="24"/>
          <w:szCs w:val="26"/>
          <w:lang w:val="en-US"/>
        </w:rPr>
        <w:t>Quadrant Construction</w:t>
      </w:r>
    </w:p>
    <w:p w:rsidR="00DB45FD" w:rsidRPr="00DB45FD" w:rsidRDefault="00DB45FD" w:rsidP="0054615C">
      <w:pPr>
        <w:rPr>
          <w:rFonts w:cs="Times New Roman"/>
          <w:szCs w:val="26"/>
          <w:lang w:val="en-US"/>
        </w:rPr>
      </w:pPr>
      <w:r>
        <w:rPr>
          <w:rFonts w:cs="Times New Roman"/>
          <w:szCs w:val="26"/>
          <w:lang w:val="en-US"/>
        </w:rPr>
        <w:t>Using median splits (DO Score median = 5.14, ESG Rating median = 58</w:t>
      </w:r>
      <w:r w:rsidR="00E455C6">
        <w:rPr>
          <w:rFonts w:cs="Times New Roman"/>
          <w:szCs w:val="26"/>
          <w:lang w:val="en-US"/>
        </w:rPr>
        <w:t>.00</w:t>
      </w:r>
      <w:r>
        <w:rPr>
          <w:rFonts w:cs="Times New Roman"/>
          <w:szCs w:val="26"/>
          <w:lang w:val="en-US"/>
        </w:rPr>
        <w:t>, N = 437):</w:t>
      </w:r>
    </w:p>
    <w:tbl>
      <w:tblPr>
        <w:tblStyle w:val="TableGrid"/>
        <w:tblW w:w="0" w:type="auto"/>
        <w:tblInd w:w="988" w:type="dxa"/>
        <w:tblLook w:val="04A0" w:firstRow="1" w:lastRow="0" w:firstColumn="1" w:lastColumn="0" w:noHBand="0" w:noVBand="1"/>
      </w:tblPr>
      <w:tblGrid>
        <w:gridCol w:w="1626"/>
        <w:gridCol w:w="1776"/>
        <w:gridCol w:w="1417"/>
        <w:gridCol w:w="3274"/>
      </w:tblGrid>
      <w:tr w:rsidR="00DB45FD" w:rsidTr="00DB45FD">
        <w:tc>
          <w:tcPr>
            <w:tcW w:w="162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Quadrant</w:t>
            </w:r>
          </w:p>
        </w:tc>
        <w:tc>
          <w:tcPr>
            <w:tcW w:w="177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N</w:t>
            </w:r>
          </w:p>
        </w:tc>
        <w:tc>
          <w:tcPr>
            <w:tcW w:w="1417"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 of Sample</w:t>
            </w:r>
          </w:p>
        </w:tc>
        <w:tc>
          <w:tcPr>
            <w:tcW w:w="3274"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Description</w:t>
            </w:r>
          </w:p>
        </w:tc>
      </w:tr>
      <w:tr w:rsidR="00DB45FD" w:rsidTr="00DB45FD">
        <w:trPr>
          <w:trHeight w:val="381"/>
        </w:trPr>
        <w:tc>
          <w:tcPr>
            <w:tcW w:w="162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lastRenderedPageBreak/>
              <w:t>High Digital/High ESG</w:t>
            </w:r>
          </w:p>
        </w:tc>
        <w:tc>
          <w:tcPr>
            <w:tcW w:w="177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146</w:t>
            </w:r>
          </w:p>
        </w:tc>
        <w:tc>
          <w:tcPr>
            <w:tcW w:w="1417"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33.4%</w:t>
            </w:r>
          </w:p>
        </w:tc>
        <w:tc>
          <w:tcPr>
            <w:tcW w:w="3274"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Aligned Positive</w:t>
            </w:r>
          </w:p>
        </w:tc>
      </w:tr>
      <w:tr w:rsidR="00DB45FD" w:rsidTr="00DB45FD">
        <w:trPr>
          <w:trHeight w:val="428"/>
        </w:trPr>
        <w:tc>
          <w:tcPr>
            <w:tcW w:w="162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Low Digital/ Low ESG</w:t>
            </w:r>
          </w:p>
        </w:tc>
        <w:tc>
          <w:tcPr>
            <w:tcW w:w="177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134</w:t>
            </w:r>
          </w:p>
        </w:tc>
        <w:tc>
          <w:tcPr>
            <w:tcW w:w="1417"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30.7%</w:t>
            </w:r>
          </w:p>
        </w:tc>
        <w:tc>
          <w:tcPr>
            <w:tcW w:w="3274"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Aligned Negative</w:t>
            </w:r>
          </w:p>
        </w:tc>
      </w:tr>
      <w:tr w:rsidR="00DB45FD" w:rsidTr="00DB45FD">
        <w:trPr>
          <w:trHeight w:val="406"/>
        </w:trPr>
        <w:tc>
          <w:tcPr>
            <w:tcW w:w="162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Low Digital / High ESG</w:t>
            </w:r>
          </w:p>
        </w:tc>
        <w:tc>
          <w:tcPr>
            <w:tcW w:w="177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84</w:t>
            </w:r>
          </w:p>
        </w:tc>
        <w:tc>
          <w:tcPr>
            <w:tcW w:w="1417"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19.2%</w:t>
            </w:r>
          </w:p>
        </w:tc>
        <w:tc>
          <w:tcPr>
            <w:tcW w:w="3274"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ESG leaders without digital</w:t>
            </w:r>
          </w:p>
        </w:tc>
      </w:tr>
      <w:tr w:rsidR="00DB45FD" w:rsidTr="00DB45FD">
        <w:trPr>
          <w:trHeight w:val="426"/>
        </w:trPr>
        <w:tc>
          <w:tcPr>
            <w:tcW w:w="162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High Digital / Low ESG</w:t>
            </w:r>
          </w:p>
        </w:tc>
        <w:tc>
          <w:tcPr>
            <w:tcW w:w="1776"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73</w:t>
            </w:r>
          </w:p>
        </w:tc>
        <w:tc>
          <w:tcPr>
            <w:tcW w:w="1417"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16.7%</w:t>
            </w:r>
          </w:p>
        </w:tc>
        <w:tc>
          <w:tcPr>
            <w:tcW w:w="3274" w:type="dxa"/>
          </w:tcPr>
          <w:p w:rsidR="00DB45FD" w:rsidRPr="00BA5B49" w:rsidRDefault="00DB45FD" w:rsidP="00BA5B49">
            <w:pPr>
              <w:jc w:val="center"/>
              <w:rPr>
                <w:rFonts w:ascii="Times New Roman" w:hAnsi="Times New Roman" w:cs="Times New Roman"/>
                <w:sz w:val="24"/>
                <w:szCs w:val="26"/>
                <w:lang w:val="en-US"/>
              </w:rPr>
            </w:pPr>
            <w:r w:rsidRPr="00BA5B49">
              <w:rPr>
                <w:rFonts w:ascii="Times New Roman" w:hAnsi="Times New Roman" w:cs="Times New Roman"/>
                <w:sz w:val="24"/>
                <w:szCs w:val="26"/>
                <w:lang w:val="en-US"/>
              </w:rPr>
              <w:t>Digital ESG divergence</w:t>
            </w:r>
          </w:p>
        </w:tc>
      </w:tr>
    </w:tbl>
    <w:p w:rsidR="00DB45FD" w:rsidRPr="00DB45FD" w:rsidRDefault="00DB45FD" w:rsidP="0054615C">
      <w:pPr>
        <w:rPr>
          <w:rFonts w:cs="Times New Roman"/>
          <w:szCs w:val="26"/>
          <w:lang w:val="en-US"/>
        </w:rPr>
      </w:pPr>
    </w:p>
    <w:p w:rsidR="00B0661F" w:rsidRDefault="00B0661F" w:rsidP="0054615C">
      <w:pPr>
        <w:rPr>
          <w:rFonts w:cstheme="minorHAnsi"/>
          <w:szCs w:val="26"/>
          <w:lang w:val="en-US"/>
        </w:rPr>
      </w:pPr>
      <w:r>
        <w:rPr>
          <w:rFonts w:cstheme="minorHAnsi"/>
          <w:szCs w:val="26"/>
          <w:lang w:val="en-US"/>
        </w:rPr>
        <w:t>Total “aligned” (Same – quadrant): 64.1%</w:t>
      </w:r>
    </w:p>
    <w:p w:rsidR="00B0661F" w:rsidRDefault="00B0661F" w:rsidP="0054615C">
      <w:pPr>
        <w:rPr>
          <w:rFonts w:cstheme="minorHAnsi"/>
          <w:szCs w:val="26"/>
          <w:lang w:val="en-US"/>
        </w:rPr>
      </w:pPr>
      <w:r>
        <w:rPr>
          <w:rFonts w:cstheme="minorHAnsi"/>
          <w:szCs w:val="26"/>
          <w:lang w:val="en-US"/>
        </w:rPr>
        <w:t>Total “divergent” (opposite quadrants): 35.9%</w:t>
      </w:r>
    </w:p>
    <w:p w:rsidR="00B0661F" w:rsidRDefault="00B0661F" w:rsidP="00B0661F">
      <w:pPr>
        <w:rPr>
          <w:rFonts w:cstheme="minorHAnsi"/>
          <w:szCs w:val="26"/>
          <w:lang w:val="en-US"/>
        </w:rPr>
      </w:pPr>
      <w:r>
        <w:rPr>
          <w:rFonts w:cstheme="minorHAnsi"/>
          <w:szCs w:val="26"/>
          <w:lang w:val="en-US"/>
        </w:rPr>
        <w:t>The fact that over one-third of companies fall into divergent quadrants is itself evidence that digital orientation and ESG performance are not tightly coupled.</w:t>
      </w:r>
    </w:p>
    <w:p w:rsidR="00B0661F" w:rsidRPr="00B0661F" w:rsidRDefault="00B0661F" w:rsidP="00B0661F">
      <w:pPr>
        <w:rPr>
          <w:rFonts w:ascii="Times New Roman" w:hAnsi="Times New Roman" w:cs="Times New Roman"/>
          <w:sz w:val="24"/>
          <w:szCs w:val="26"/>
          <w:lang w:val="en-US"/>
        </w:rPr>
      </w:pPr>
      <w:r w:rsidRPr="00B0661F">
        <w:rPr>
          <w:rFonts w:ascii="Times New Roman" w:hAnsi="Times New Roman" w:cs="Times New Roman"/>
          <w:sz w:val="24"/>
          <w:szCs w:val="26"/>
          <w:lang w:val="en-US"/>
        </w:rPr>
        <w:t xml:space="preserve">4.5.2 Industry Composition by Quadrant </w:t>
      </w:r>
    </w:p>
    <w:p w:rsidR="00B0661F" w:rsidRPr="009D570C" w:rsidRDefault="009D570C" w:rsidP="0054615C">
      <w:pPr>
        <w:rPr>
          <w:rFonts w:cstheme="minorHAnsi"/>
          <w:b/>
          <w:szCs w:val="26"/>
          <w:lang w:val="en-US"/>
        </w:rPr>
      </w:pPr>
      <w:r>
        <w:rPr>
          <w:rFonts w:cstheme="minorHAnsi"/>
          <w:b/>
          <w:szCs w:val="26"/>
          <w:lang w:val="en-US"/>
        </w:rPr>
        <w:t>High Digital/</w:t>
      </w:r>
      <w:r w:rsidR="000E12EB" w:rsidRPr="009D570C">
        <w:rPr>
          <w:rFonts w:cstheme="minorHAnsi"/>
          <w:b/>
          <w:szCs w:val="26"/>
          <w:lang w:val="en-US"/>
        </w:rPr>
        <w:t>High ESG</w:t>
      </w:r>
      <w:r>
        <w:rPr>
          <w:rFonts w:cstheme="minorHAnsi"/>
          <w:b/>
          <w:szCs w:val="26"/>
          <w:lang w:val="en-US"/>
        </w:rPr>
        <w:t xml:space="preserve"> (N=</w:t>
      </w:r>
      <w:r w:rsidR="00C104E1" w:rsidRPr="009D570C">
        <w:rPr>
          <w:rFonts w:cstheme="minorHAnsi"/>
          <w:b/>
          <w:szCs w:val="26"/>
          <w:lang w:val="en-US"/>
        </w:rPr>
        <w:t>146)</w:t>
      </w:r>
    </w:p>
    <w:tbl>
      <w:tblPr>
        <w:tblStyle w:val="TableGrid"/>
        <w:tblW w:w="0" w:type="auto"/>
        <w:tblLook w:val="04A0" w:firstRow="1" w:lastRow="0" w:firstColumn="1" w:lastColumn="0" w:noHBand="0" w:noVBand="1"/>
      </w:tblPr>
      <w:tblGrid>
        <w:gridCol w:w="3485"/>
        <w:gridCol w:w="3485"/>
        <w:gridCol w:w="3486"/>
      </w:tblGrid>
      <w:tr w:rsidR="000E12EB" w:rsidTr="000E12EB">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Industry</w:t>
            </w:r>
          </w:p>
        </w:tc>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Count</w:t>
            </w:r>
          </w:p>
        </w:tc>
        <w:tc>
          <w:tcPr>
            <w:tcW w:w="3486"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 of Quadrant</w:t>
            </w:r>
          </w:p>
        </w:tc>
      </w:tr>
      <w:tr w:rsidR="000E12EB" w:rsidTr="000E12EB">
        <w:trPr>
          <w:trHeight w:val="464"/>
        </w:trPr>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Financial Services</w:t>
            </w:r>
          </w:p>
        </w:tc>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54</w:t>
            </w:r>
          </w:p>
        </w:tc>
        <w:tc>
          <w:tcPr>
            <w:tcW w:w="3486"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37.0%</w:t>
            </w:r>
          </w:p>
        </w:tc>
      </w:tr>
      <w:tr w:rsidR="000E12EB" w:rsidTr="000E12EB">
        <w:trPr>
          <w:trHeight w:val="414"/>
        </w:trPr>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Information Technology</w:t>
            </w:r>
          </w:p>
        </w:tc>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20</w:t>
            </w:r>
          </w:p>
        </w:tc>
        <w:tc>
          <w:tcPr>
            <w:tcW w:w="3486"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13.7%</w:t>
            </w:r>
          </w:p>
        </w:tc>
      </w:tr>
      <w:tr w:rsidR="000E12EB" w:rsidTr="000E12EB">
        <w:trPr>
          <w:trHeight w:val="420"/>
        </w:trPr>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Healthcare</w:t>
            </w:r>
          </w:p>
        </w:tc>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16</w:t>
            </w:r>
          </w:p>
        </w:tc>
        <w:tc>
          <w:tcPr>
            <w:tcW w:w="3486"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11.0%</w:t>
            </w:r>
          </w:p>
        </w:tc>
      </w:tr>
      <w:tr w:rsidR="000E12EB" w:rsidTr="000E12EB">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Automobile and Auto Components</w:t>
            </w:r>
          </w:p>
        </w:tc>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11</w:t>
            </w:r>
          </w:p>
        </w:tc>
        <w:tc>
          <w:tcPr>
            <w:tcW w:w="3486"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7.5%</w:t>
            </w:r>
          </w:p>
        </w:tc>
      </w:tr>
      <w:tr w:rsidR="000E12EB" w:rsidTr="000E12EB">
        <w:trPr>
          <w:trHeight w:val="420"/>
        </w:trPr>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Consumer Durables</w:t>
            </w:r>
          </w:p>
        </w:tc>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6</w:t>
            </w:r>
          </w:p>
        </w:tc>
        <w:tc>
          <w:tcPr>
            <w:tcW w:w="3486"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4.1%</w:t>
            </w:r>
          </w:p>
        </w:tc>
      </w:tr>
      <w:tr w:rsidR="000E12EB" w:rsidTr="000E12EB">
        <w:trPr>
          <w:trHeight w:val="412"/>
        </w:trPr>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Consumer Servcie</w:t>
            </w:r>
          </w:p>
        </w:tc>
        <w:tc>
          <w:tcPr>
            <w:tcW w:w="3485"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7</w:t>
            </w:r>
          </w:p>
        </w:tc>
        <w:tc>
          <w:tcPr>
            <w:tcW w:w="3486" w:type="dxa"/>
          </w:tcPr>
          <w:p w:rsidR="000E12EB" w:rsidRPr="000E12EB" w:rsidRDefault="000E12EB" w:rsidP="000E12EB">
            <w:pPr>
              <w:jc w:val="center"/>
              <w:rPr>
                <w:rFonts w:ascii="Times New Roman" w:hAnsi="Times New Roman" w:cs="Times New Roman"/>
                <w:sz w:val="24"/>
                <w:szCs w:val="26"/>
                <w:lang w:val="en-US"/>
              </w:rPr>
            </w:pPr>
            <w:r w:rsidRPr="000E12EB">
              <w:rPr>
                <w:rFonts w:ascii="Times New Roman" w:hAnsi="Times New Roman" w:cs="Times New Roman"/>
                <w:sz w:val="24"/>
                <w:szCs w:val="26"/>
                <w:lang w:val="en-US"/>
              </w:rPr>
              <w:t>4.8%</w:t>
            </w:r>
          </w:p>
        </w:tc>
      </w:tr>
    </w:tbl>
    <w:p w:rsidR="000E12EB" w:rsidRDefault="000E12EB" w:rsidP="0054615C">
      <w:pPr>
        <w:rPr>
          <w:rFonts w:cstheme="minorHAnsi"/>
          <w:szCs w:val="26"/>
          <w:lang w:val="en-US"/>
        </w:rPr>
      </w:pPr>
    </w:p>
    <w:p w:rsidR="00C104E1" w:rsidRDefault="00C104E1" w:rsidP="0054615C">
      <w:pPr>
        <w:rPr>
          <w:rFonts w:cstheme="minorHAnsi"/>
          <w:szCs w:val="26"/>
          <w:lang w:val="en-US"/>
        </w:rPr>
      </w:pPr>
      <w:r>
        <w:rPr>
          <w:rFonts w:cstheme="minorHAnsi"/>
          <w:szCs w:val="26"/>
          <w:lang w:val="en-US"/>
        </w:rPr>
        <w:t>Pattern: Dominated by service sector and digitally native industries where both digital intensity and ESG performance are structurally high.</w:t>
      </w:r>
    </w:p>
    <w:p w:rsidR="00C104E1" w:rsidRPr="009D570C" w:rsidRDefault="009D570C" w:rsidP="0054615C">
      <w:pPr>
        <w:rPr>
          <w:rFonts w:cstheme="minorHAnsi"/>
          <w:b/>
          <w:szCs w:val="26"/>
          <w:lang w:val="en-US"/>
        </w:rPr>
      </w:pPr>
      <w:r>
        <w:rPr>
          <w:rFonts w:cstheme="minorHAnsi"/>
          <w:b/>
          <w:szCs w:val="26"/>
          <w:lang w:val="en-US"/>
        </w:rPr>
        <w:t>High Digital/</w:t>
      </w:r>
      <w:r w:rsidR="00C104E1" w:rsidRPr="009D570C">
        <w:rPr>
          <w:rFonts w:cstheme="minorHAnsi"/>
          <w:b/>
          <w:szCs w:val="26"/>
          <w:lang w:val="en-US"/>
        </w:rPr>
        <w:t>Low ESG (N=73) The Critical Divergence Quadrant</w:t>
      </w:r>
    </w:p>
    <w:tbl>
      <w:tblPr>
        <w:tblStyle w:val="TableGrid"/>
        <w:tblW w:w="0" w:type="auto"/>
        <w:tblLook w:val="04A0" w:firstRow="1" w:lastRow="0" w:firstColumn="1" w:lastColumn="0" w:noHBand="0" w:noVBand="1"/>
      </w:tblPr>
      <w:tblGrid>
        <w:gridCol w:w="3485"/>
        <w:gridCol w:w="3485"/>
        <w:gridCol w:w="3486"/>
      </w:tblGrid>
      <w:tr w:rsidR="00C104E1" w:rsidTr="00C104E1">
        <w:tc>
          <w:tcPr>
            <w:tcW w:w="3485" w:type="dxa"/>
          </w:tcPr>
          <w:p w:rsidR="00C104E1" w:rsidRPr="0050418C" w:rsidRDefault="00304D35"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Industry</w:t>
            </w:r>
          </w:p>
        </w:tc>
        <w:tc>
          <w:tcPr>
            <w:tcW w:w="3485" w:type="dxa"/>
          </w:tcPr>
          <w:p w:rsidR="00C104E1" w:rsidRPr="0050418C" w:rsidRDefault="00304D35"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Count</w:t>
            </w:r>
          </w:p>
        </w:tc>
        <w:tc>
          <w:tcPr>
            <w:tcW w:w="3486" w:type="dxa"/>
          </w:tcPr>
          <w:p w:rsidR="00C104E1" w:rsidRPr="0050418C" w:rsidRDefault="00304D35"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 of Quadrant</w:t>
            </w:r>
          </w:p>
        </w:tc>
      </w:tr>
      <w:tr w:rsidR="00C104E1" w:rsidTr="00A33433">
        <w:trPr>
          <w:trHeight w:val="460"/>
        </w:trPr>
        <w:tc>
          <w:tcPr>
            <w:tcW w:w="3485" w:type="dxa"/>
          </w:tcPr>
          <w:p w:rsidR="00C104E1" w:rsidRPr="0050418C" w:rsidRDefault="00304D35"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Chemicals</w:t>
            </w:r>
          </w:p>
        </w:tc>
        <w:tc>
          <w:tcPr>
            <w:tcW w:w="3485"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10</w:t>
            </w:r>
          </w:p>
        </w:tc>
        <w:tc>
          <w:tcPr>
            <w:tcW w:w="3486"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13.7%</w:t>
            </w:r>
          </w:p>
        </w:tc>
      </w:tr>
      <w:tr w:rsidR="00C104E1" w:rsidTr="00A33433">
        <w:trPr>
          <w:trHeight w:val="410"/>
        </w:trPr>
        <w:tc>
          <w:tcPr>
            <w:tcW w:w="3485" w:type="dxa"/>
          </w:tcPr>
          <w:p w:rsidR="00C104E1" w:rsidRPr="0050418C" w:rsidRDefault="00304D35"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Capital Goods</w:t>
            </w:r>
          </w:p>
        </w:tc>
        <w:tc>
          <w:tcPr>
            <w:tcW w:w="3485"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10</w:t>
            </w:r>
          </w:p>
        </w:tc>
        <w:tc>
          <w:tcPr>
            <w:tcW w:w="3486"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13.7%</w:t>
            </w:r>
          </w:p>
        </w:tc>
      </w:tr>
      <w:tr w:rsidR="00C104E1" w:rsidTr="00A33433">
        <w:trPr>
          <w:trHeight w:val="416"/>
        </w:trPr>
        <w:tc>
          <w:tcPr>
            <w:tcW w:w="3485" w:type="dxa"/>
          </w:tcPr>
          <w:p w:rsidR="00C104E1" w:rsidRPr="0050418C" w:rsidRDefault="00304D35"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Telecommunication</w:t>
            </w:r>
          </w:p>
        </w:tc>
        <w:tc>
          <w:tcPr>
            <w:tcW w:w="3485"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8</w:t>
            </w:r>
          </w:p>
        </w:tc>
        <w:tc>
          <w:tcPr>
            <w:tcW w:w="3486"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11.0%</w:t>
            </w:r>
          </w:p>
        </w:tc>
      </w:tr>
      <w:tr w:rsidR="00C104E1" w:rsidTr="00A33433">
        <w:trPr>
          <w:trHeight w:val="422"/>
        </w:trPr>
        <w:tc>
          <w:tcPr>
            <w:tcW w:w="3485" w:type="dxa"/>
          </w:tcPr>
          <w:p w:rsidR="00C104E1" w:rsidRPr="0050418C" w:rsidRDefault="00304D35"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Metals &amp; Mining</w:t>
            </w:r>
          </w:p>
        </w:tc>
        <w:tc>
          <w:tcPr>
            <w:tcW w:w="3485"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6</w:t>
            </w:r>
          </w:p>
        </w:tc>
        <w:tc>
          <w:tcPr>
            <w:tcW w:w="3486"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8.2%</w:t>
            </w:r>
          </w:p>
        </w:tc>
      </w:tr>
      <w:tr w:rsidR="00C104E1" w:rsidTr="00A33433">
        <w:trPr>
          <w:trHeight w:val="414"/>
        </w:trPr>
        <w:tc>
          <w:tcPr>
            <w:tcW w:w="3485" w:type="dxa"/>
          </w:tcPr>
          <w:p w:rsidR="00C104E1" w:rsidRPr="0050418C" w:rsidRDefault="00304D35"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Consumer Durables</w:t>
            </w:r>
          </w:p>
        </w:tc>
        <w:tc>
          <w:tcPr>
            <w:tcW w:w="3485"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5</w:t>
            </w:r>
          </w:p>
        </w:tc>
        <w:tc>
          <w:tcPr>
            <w:tcW w:w="3486"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6.8%</w:t>
            </w:r>
          </w:p>
        </w:tc>
      </w:tr>
      <w:tr w:rsidR="00C104E1" w:rsidTr="00A33433">
        <w:trPr>
          <w:trHeight w:val="420"/>
        </w:trPr>
        <w:tc>
          <w:tcPr>
            <w:tcW w:w="3485" w:type="dxa"/>
          </w:tcPr>
          <w:p w:rsidR="00C104E1" w:rsidRPr="0050418C" w:rsidRDefault="00304D35"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Consumer Services</w:t>
            </w:r>
          </w:p>
        </w:tc>
        <w:tc>
          <w:tcPr>
            <w:tcW w:w="3485"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3</w:t>
            </w:r>
          </w:p>
        </w:tc>
        <w:tc>
          <w:tcPr>
            <w:tcW w:w="3486" w:type="dxa"/>
          </w:tcPr>
          <w:p w:rsidR="00C104E1" w:rsidRPr="0050418C" w:rsidRDefault="0050418C" w:rsidP="0050418C">
            <w:pPr>
              <w:jc w:val="center"/>
              <w:rPr>
                <w:rFonts w:ascii="Times New Roman" w:hAnsi="Times New Roman" w:cs="Times New Roman"/>
                <w:sz w:val="24"/>
                <w:szCs w:val="26"/>
                <w:lang w:val="en-US"/>
              </w:rPr>
            </w:pPr>
            <w:r w:rsidRPr="0050418C">
              <w:rPr>
                <w:rFonts w:ascii="Times New Roman" w:hAnsi="Times New Roman" w:cs="Times New Roman"/>
                <w:sz w:val="24"/>
                <w:szCs w:val="26"/>
                <w:lang w:val="en-US"/>
              </w:rPr>
              <w:t>6.8%</w:t>
            </w:r>
          </w:p>
        </w:tc>
      </w:tr>
    </w:tbl>
    <w:p w:rsidR="00C104E1" w:rsidRDefault="00C104E1" w:rsidP="0054615C">
      <w:pPr>
        <w:rPr>
          <w:rFonts w:cstheme="minorHAnsi"/>
          <w:szCs w:val="26"/>
          <w:lang w:val="en-US"/>
        </w:rPr>
      </w:pPr>
    </w:p>
    <w:p w:rsidR="00CF5927" w:rsidRPr="00CF5927" w:rsidRDefault="00CF5927" w:rsidP="0054615C">
      <w:pPr>
        <w:rPr>
          <w:rFonts w:cstheme="minorHAnsi"/>
          <w:b/>
          <w:szCs w:val="26"/>
          <w:lang w:val="en-US"/>
        </w:rPr>
      </w:pPr>
      <w:r w:rsidRPr="00CF5927">
        <w:rPr>
          <w:rFonts w:cstheme="minorHAnsi"/>
          <w:b/>
          <w:szCs w:val="26"/>
          <w:lang w:val="en-US"/>
        </w:rPr>
        <w:t>Critical finding:</w:t>
      </w:r>
      <w:r>
        <w:rPr>
          <w:rFonts w:cstheme="minorHAnsi"/>
          <w:b/>
          <w:szCs w:val="26"/>
          <w:lang w:val="en-US"/>
        </w:rPr>
        <w:t xml:space="preserve"> </w:t>
      </w:r>
      <w:r>
        <w:rPr>
          <w:rFonts w:cstheme="minorHAnsi"/>
          <w:szCs w:val="26"/>
          <w:lang w:val="en-US"/>
        </w:rPr>
        <w:t xml:space="preserve">The original hypothesis predicted that </w:t>
      </w:r>
      <w:r w:rsidRPr="00CF5927">
        <w:rPr>
          <w:rFonts w:cstheme="minorHAnsi"/>
          <w:b/>
          <w:szCs w:val="26"/>
          <w:lang w:val="en-US"/>
        </w:rPr>
        <w:t>Financial Service and IT</w:t>
      </w:r>
      <w:r>
        <w:rPr>
          <w:rFonts w:cstheme="minorHAnsi"/>
          <w:szCs w:val="26"/>
          <w:lang w:val="en-US"/>
        </w:rPr>
        <w:t xml:space="preserve"> would dominate the “High Digital / Low ESG” quadrant digitally advanced sectors where ESG is pulled down by governance or social factors. </w:t>
      </w:r>
      <w:r w:rsidRPr="00CF5927">
        <w:rPr>
          <w:rFonts w:cstheme="minorHAnsi"/>
          <w:b/>
          <w:szCs w:val="26"/>
          <w:lang w:val="en-US"/>
        </w:rPr>
        <w:t>This hypothesis is NOT supported by the data.</w:t>
      </w:r>
    </w:p>
    <w:p w:rsidR="00CF5927" w:rsidRDefault="00CF5927" w:rsidP="004C0BA6">
      <w:pPr>
        <w:rPr>
          <w:rFonts w:cstheme="minorHAnsi"/>
          <w:szCs w:val="26"/>
          <w:lang w:val="en-US"/>
        </w:rPr>
      </w:pPr>
      <w:r>
        <w:rPr>
          <w:rFonts w:cstheme="minorHAnsi"/>
          <w:szCs w:val="26"/>
          <w:lang w:val="en-US"/>
        </w:rPr>
        <w:t xml:space="preserve">Instead, Chemicals and Capital Goods dominate this quadrant (10 companies each), while IT and Financial Services are concentrated in High Digital/High ESG (20 and 54 companies respectively). This suggests that digital ESG </w:t>
      </w:r>
      <w:r>
        <w:rPr>
          <w:rFonts w:cstheme="minorHAnsi"/>
          <w:szCs w:val="26"/>
          <w:lang w:val="en-US"/>
        </w:rPr>
        <w:lastRenderedPageBreak/>
        <w:t>divergence, where it occurs is more characteristic of industrial and manufacturing sectors than of digitally native service sectors.</w:t>
      </w:r>
    </w:p>
    <w:p w:rsidR="009D570C" w:rsidRPr="00CF5927" w:rsidRDefault="009D570C" w:rsidP="004C0BA6">
      <w:pPr>
        <w:rPr>
          <w:rFonts w:cstheme="minorHAnsi"/>
          <w:b/>
          <w:szCs w:val="26"/>
          <w:lang w:val="en-US"/>
        </w:rPr>
      </w:pPr>
      <w:r w:rsidRPr="009D570C">
        <w:rPr>
          <w:rFonts w:cstheme="minorHAnsi"/>
          <w:b/>
          <w:szCs w:val="26"/>
          <w:lang w:val="en-US"/>
        </w:rPr>
        <w:t>Low Digital/High ESG (N=84)</w:t>
      </w:r>
    </w:p>
    <w:tbl>
      <w:tblPr>
        <w:tblStyle w:val="TableGrid"/>
        <w:tblW w:w="0" w:type="auto"/>
        <w:tblLook w:val="04A0" w:firstRow="1" w:lastRow="0" w:firstColumn="1" w:lastColumn="0" w:noHBand="0" w:noVBand="1"/>
      </w:tblPr>
      <w:tblGrid>
        <w:gridCol w:w="3485"/>
        <w:gridCol w:w="3485"/>
        <w:gridCol w:w="3486"/>
      </w:tblGrid>
      <w:tr w:rsidR="009D570C" w:rsidTr="009D570C">
        <w:trPr>
          <w:trHeight w:val="132"/>
        </w:trPr>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Industry</w:t>
            </w:r>
          </w:p>
        </w:tc>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Count</w:t>
            </w:r>
          </w:p>
        </w:tc>
        <w:tc>
          <w:tcPr>
            <w:tcW w:w="3486"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 of Quadrant</w:t>
            </w:r>
          </w:p>
        </w:tc>
      </w:tr>
      <w:tr w:rsidR="009D570C" w:rsidTr="00CC338F">
        <w:trPr>
          <w:trHeight w:val="420"/>
        </w:trPr>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Financial Service</w:t>
            </w:r>
          </w:p>
        </w:tc>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21</w:t>
            </w:r>
          </w:p>
        </w:tc>
        <w:tc>
          <w:tcPr>
            <w:tcW w:w="3486"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25.0%</w:t>
            </w:r>
          </w:p>
        </w:tc>
      </w:tr>
      <w:tr w:rsidR="009D570C" w:rsidTr="00CC338F">
        <w:trPr>
          <w:trHeight w:val="411"/>
        </w:trPr>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Healthcare</w:t>
            </w:r>
          </w:p>
        </w:tc>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13</w:t>
            </w:r>
          </w:p>
        </w:tc>
        <w:tc>
          <w:tcPr>
            <w:tcW w:w="3486"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15.5%</w:t>
            </w:r>
          </w:p>
        </w:tc>
      </w:tr>
      <w:tr w:rsidR="009D570C" w:rsidTr="00CC338F">
        <w:trPr>
          <w:trHeight w:val="418"/>
        </w:trPr>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Fast Moving Consumer Goods</w:t>
            </w:r>
          </w:p>
        </w:tc>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6</w:t>
            </w:r>
          </w:p>
        </w:tc>
        <w:tc>
          <w:tcPr>
            <w:tcW w:w="3486"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7.1%</w:t>
            </w:r>
          </w:p>
        </w:tc>
      </w:tr>
      <w:tr w:rsidR="009D570C" w:rsidTr="00CC338F">
        <w:trPr>
          <w:trHeight w:val="410"/>
        </w:trPr>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Capital Goods</w:t>
            </w:r>
          </w:p>
        </w:tc>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7</w:t>
            </w:r>
          </w:p>
        </w:tc>
        <w:tc>
          <w:tcPr>
            <w:tcW w:w="3486"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8.3%</w:t>
            </w:r>
          </w:p>
        </w:tc>
      </w:tr>
      <w:tr w:rsidR="009D570C" w:rsidTr="009D570C">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Automobile and Auto Components</w:t>
            </w:r>
          </w:p>
        </w:tc>
        <w:tc>
          <w:tcPr>
            <w:tcW w:w="3485"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7</w:t>
            </w:r>
          </w:p>
        </w:tc>
        <w:tc>
          <w:tcPr>
            <w:tcW w:w="3486" w:type="dxa"/>
          </w:tcPr>
          <w:p w:rsidR="009D570C" w:rsidRPr="009D570C" w:rsidRDefault="009D570C" w:rsidP="009D570C">
            <w:pPr>
              <w:jc w:val="center"/>
              <w:rPr>
                <w:rFonts w:ascii="Times New Roman" w:hAnsi="Times New Roman" w:cs="Times New Roman"/>
                <w:sz w:val="24"/>
                <w:szCs w:val="26"/>
                <w:lang w:val="en-US"/>
              </w:rPr>
            </w:pPr>
            <w:r w:rsidRPr="009D570C">
              <w:rPr>
                <w:rFonts w:ascii="Times New Roman" w:hAnsi="Times New Roman" w:cs="Times New Roman"/>
                <w:sz w:val="24"/>
                <w:szCs w:val="26"/>
                <w:lang w:val="en-US"/>
              </w:rPr>
              <w:t>8.3%</w:t>
            </w:r>
          </w:p>
        </w:tc>
      </w:tr>
    </w:tbl>
    <w:p w:rsidR="00CF5927" w:rsidRDefault="00CF5927" w:rsidP="0054615C">
      <w:pPr>
        <w:rPr>
          <w:rFonts w:cstheme="minorHAnsi"/>
          <w:szCs w:val="26"/>
          <w:lang w:val="en-US"/>
        </w:rPr>
      </w:pPr>
    </w:p>
    <w:p w:rsidR="00CC338F" w:rsidRPr="00CC338F" w:rsidRDefault="00CC338F" w:rsidP="0054615C">
      <w:pPr>
        <w:rPr>
          <w:rFonts w:cstheme="minorHAnsi"/>
          <w:szCs w:val="26"/>
          <w:lang w:val="en-US"/>
        </w:rPr>
      </w:pPr>
      <w:r w:rsidRPr="00CC338F">
        <w:rPr>
          <w:rFonts w:cstheme="minorHAnsi"/>
          <w:b/>
          <w:szCs w:val="26"/>
          <w:lang w:val="en-US"/>
        </w:rPr>
        <w:t>Pattern:</w:t>
      </w:r>
      <w:r>
        <w:rPr>
          <w:rFonts w:cstheme="minorHAnsi"/>
          <w:b/>
          <w:szCs w:val="26"/>
          <w:lang w:val="en-US"/>
        </w:rPr>
        <w:t xml:space="preserve"> </w:t>
      </w:r>
      <w:r>
        <w:rPr>
          <w:rFonts w:cstheme="minorHAnsi"/>
          <w:szCs w:val="26"/>
          <w:lang w:val="en-US"/>
        </w:rPr>
        <w:t>Companies that achieve strong ESG performance without high digital articulation suggesting ESG can be driven by governance, culture and operational practices independent of digital intensity.</w:t>
      </w:r>
    </w:p>
    <w:p w:rsidR="00CC338F" w:rsidRPr="003804CC" w:rsidRDefault="003804CC" w:rsidP="0054615C">
      <w:pPr>
        <w:rPr>
          <w:rFonts w:cstheme="minorHAnsi"/>
          <w:b/>
          <w:szCs w:val="26"/>
          <w:lang w:val="en-US"/>
        </w:rPr>
      </w:pPr>
      <w:r w:rsidRPr="003804CC">
        <w:rPr>
          <w:rFonts w:cstheme="minorHAnsi"/>
          <w:b/>
          <w:szCs w:val="26"/>
          <w:lang w:val="en-US"/>
        </w:rPr>
        <w:t>Low Digital/Low ESG (N=134)</w:t>
      </w:r>
    </w:p>
    <w:tbl>
      <w:tblPr>
        <w:tblStyle w:val="TableGrid"/>
        <w:tblW w:w="0" w:type="auto"/>
        <w:tblLook w:val="04A0" w:firstRow="1" w:lastRow="0" w:firstColumn="1" w:lastColumn="0" w:noHBand="0" w:noVBand="1"/>
      </w:tblPr>
      <w:tblGrid>
        <w:gridCol w:w="3485"/>
        <w:gridCol w:w="3485"/>
        <w:gridCol w:w="3486"/>
      </w:tblGrid>
      <w:tr w:rsidR="003804CC" w:rsidTr="003804CC">
        <w:tc>
          <w:tcPr>
            <w:tcW w:w="3485" w:type="dxa"/>
          </w:tcPr>
          <w:p w:rsidR="003804CC" w:rsidRPr="002C77D1" w:rsidRDefault="003804CC"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Industry</w:t>
            </w:r>
          </w:p>
        </w:tc>
        <w:tc>
          <w:tcPr>
            <w:tcW w:w="3485" w:type="dxa"/>
          </w:tcPr>
          <w:p w:rsidR="003804CC" w:rsidRPr="002C77D1" w:rsidRDefault="003804CC"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Count</w:t>
            </w:r>
          </w:p>
        </w:tc>
        <w:tc>
          <w:tcPr>
            <w:tcW w:w="3486" w:type="dxa"/>
          </w:tcPr>
          <w:p w:rsidR="003804CC" w:rsidRPr="002C77D1" w:rsidRDefault="003804CC"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 of Quadrant</w:t>
            </w:r>
          </w:p>
        </w:tc>
      </w:tr>
      <w:tr w:rsidR="003804CC" w:rsidTr="00A2660E">
        <w:trPr>
          <w:trHeight w:val="500"/>
        </w:trPr>
        <w:tc>
          <w:tcPr>
            <w:tcW w:w="3485" w:type="dxa"/>
          </w:tcPr>
          <w:p w:rsidR="003804CC" w:rsidRPr="002C77D1" w:rsidRDefault="003804CC"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Capital Goods</w:t>
            </w:r>
          </w:p>
        </w:tc>
        <w:tc>
          <w:tcPr>
            <w:tcW w:w="3485"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26</w:t>
            </w:r>
          </w:p>
        </w:tc>
        <w:tc>
          <w:tcPr>
            <w:tcW w:w="3486"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19.4%</w:t>
            </w:r>
          </w:p>
        </w:tc>
      </w:tr>
      <w:tr w:rsidR="003804CC" w:rsidTr="00A2660E">
        <w:trPr>
          <w:trHeight w:val="408"/>
        </w:trPr>
        <w:tc>
          <w:tcPr>
            <w:tcW w:w="3485" w:type="dxa"/>
          </w:tcPr>
          <w:p w:rsidR="003804CC" w:rsidRPr="002C77D1" w:rsidRDefault="003804CC"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Fast Moving Consumer Goods</w:t>
            </w:r>
          </w:p>
        </w:tc>
        <w:tc>
          <w:tcPr>
            <w:tcW w:w="3485"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15</w:t>
            </w:r>
          </w:p>
        </w:tc>
        <w:tc>
          <w:tcPr>
            <w:tcW w:w="3486"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11.2%</w:t>
            </w:r>
          </w:p>
        </w:tc>
      </w:tr>
      <w:tr w:rsidR="003804CC" w:rsidTr="00A2660E">
        <w:trPr>
          <w:trHeight w:val="414"/>
        </w:trPr>
        <w:tc>
          <w:tcPr>
            <w:tcW w:w="3485"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Chemicals</w:t>
            </w:r>
          </w:p>
        </w:tc>
        <w:tc>
          <w:tcPr>
            <w:tcW w:w="3485"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13</w:t>
            </w:r>
          </w:p>
        </w:tc>
        <w:tc>
          <w:tcPr>
            <w:tcW w:w="3486"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9.7%</w:t>
            </w:r>
          </w:p>
        </w:tc>
      </w:tr>
      <w:tr w:rsidR="003804CC" w:rsidTr="00A2660E">
        <w:trPr>
          <w:trHeight w:val="406"/>
        </w:trPr>
        <w:tc>
          <w:tcPr>
            <w:tcW w:w="3485"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Healthcare</w:t>
            </w:r>
          </w:p>
        </w:tc>
        <w:tc>
          <w:tcPr>
            <w:tcW w:w="3485"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12</w:t>
            </w:r>
          </w:p>
        </w:tc>
        <w:tc>
          <w:tcPr>
            <w:tcW w:w="3486" w:type="dxa"/>
          </w:tcPr>
          <w:p w:rsidR="003804CC" w:rsidRPr="002C77D1" w:rsidRDefault="002C77D1" w:rsidP="002C77D1">
            <w:pPr>
              <w:jc w:val="center"/>
              <w:rPr>
                <w:rFonts w:ascii="Times New Roman" w:hAnsi="Times New Roman" w:cs="Times New Roman"/>
                <w:sz w:val="24"/>
                <w:szCs w:val="26"/>
                <w:lang w:val="en-US"/>
              </w:rPr>
            </w:pPr>
            <w:r w:rsidRPr="002C77D1">
              <w:rPr>
                <w:rFonts w:ascii="Times New Roman" w:hAnsi="Times New Roman" w:cs="Times New Roman"/>
                <w:sz w:val="24"/>
                <w:szCs w:val="26"/>
                <w:lang w:val="en-US"/>
              </w:rPr>
              <w:t>9.0%</w:t>
            </w:r>
          </w:p>
        </w:tc>
      </w:tr>
    </w:tbl>
    <w:p w:rsidR="00A2660E" w:rsidRDefault="00A2660E" w:rsidP="0054615C">
      <w:pPr>
        <w:rPr>
          <w:rFonts w:cstheme="minorHAnsi"/>
          <w:b/>
          <w:szCs w:val="26"/>
          <w:lang w:val="en-US"/>
        </w:rPr>
      </w:pPr>
    </w:p>
    <w:p w:rsidR="00C104E1" w:rsidRPr="00A2660E" w:rsidRDefault="00A2660E" w:rsidP="0054615C">
      <w:pPr>
        <w:rPr>
          <w:rFonts w:cstheme="minorHAnsi"/>
          <w:b/>
          <w:szCs w:val="26"/>
          <w:lang w:val="en-US"/>
        </w:rPr>
      </w:pPr>
      <w:r w:rsidRPr="00A2660E">
        <w:rPr>
          <w:rFonts w:cstheme="minorHAnsi"/>
          <w:b/>
          <w:szCs w:val="26"/>
          <w:lang w:val="en-US"/>
        </w:rPr>
        <w:t>Pattern:</w:t>
      </w:r>
      <w:r>
        <w:rPr>
          <w:rFonts w:cstheme="minorHAnsi"/>
          <w:b/>
          <w:szCs w:val="26"/>
          <w:lang w:val="en-US"/>
        </w:rPr>
        <w:t xml:space="preserve"> </w:t>
      </w:r>
      <w:r>
        <w:rPr>
          <w:rFonts w:cstheme="minorHAnsi"/>
          <w:szCs w:val="26"/>
          <w:lang w:val="en-US"/>
        </w:rPr>
        <w:t>Traditional industrial and manufacturing sectors with low digital intensity and low ESG performance. Notably</w:t>
      </w:r>
      <w:r w:rsidRPr="00A2660E">
        <w:rPr>
          <w:rFonts w:cstheme="minorHAnsi"/>
          <w:b/>
          <w:szCs w:val="26"/>
          <w:lang w:val="en-US"/>
        </w:rPr>
        <w:t>, Information Technology has zero companies in this quadrant.</w:t>
      </w:r>
    </w:p>
    <w:p w:rsidR="00A2660E" w:rsidRPr="00A2660E" w:rsidRDefault="00A2660E" w:rsidP="0054615C">
      <w:pPr>
        <w:rPr>
          <w:rFonts w:ascii="Times New Roman" w:hAnsi="Times New Roman" w:cs="Times New Roman"/>
          <w:sz w:val="24"/>
          <w:szCs w:val="26"/>
          <w:lang w:val="en-US"/>
        </w:rPr>
      </w:pPr>
      <w:r w:rsidRPr="00A2660E">
        <w:rPr>
          <w:rFonts w:ascii="Times New Roman" w:hAnsi="Times New Roman" w:cs="Times New Roman"/>
          <w:sz w:val="24"/>
          <w:szCs w:val="26"/>
          <w:lang w:val="en-US"/>
        </w:rPr>
        <w:t>4.5.3 Why Chemicals and Capital Goods in High Digital/Low ESG?</w:t>
      </w:r>
    </w:p>
    <w:p w:rsidR="00B0661F" w:rsidRDefault="00A2660E" w:rsidP="0054615C">
      <w:pPr>
        <w:rPr>
          <w:rFonts w:cstheme="minorHAnsi"/>
          <w:szCs w:val="26"/>
          <w:lang w:val="en-US"/>
        </w:rPr>
      </w:pPr>
      <w:r>
        <w:rPr>
          <w:rFonts w:cstheme="minorHAnsi"/>
          <w:szCs w:val="26"/>
          <w:lang w:val="en-US"/>
        </w:rPr>
        <w:t>The concentration of Chemicals and Capital Goods in the divergence quadrant suggests that digital tools in industrial and manufacturing sectors (process automation, control systems, ERP implementations) do not automatically extend to environmental or governance improvement the way they might in more data/service centric industries.</w:t>
      </w:r>
    </w:p>
    <w:p w:rsidR="00A2660E" w:rsidRPr="00B571C3" w:rsidRDefault="00B571C3" w:rsidP="0054615C">
      <w:pPr>
        <w:rPr>
          <w:rFonts w:ascii="Times New Roman" w:hAnsi="Times New Roman" w:cs="Times New Roman"/>
          <w:sz w:val="24"/>
          <w:szCs w:val="26"/>
          <w:lang w:val="en-US"/>
        </w:rPr>
      </w:pPr>
      <w:r w:rsidRPr="00B571C3">
        <w:rPr>
          <w:rFonts w:ascii="Times New Roman" w:hAnsi="Times New Roman" w:cs="Times New Roman"/>
          <w:sz w:val="24"/>
          <w:szCs w:val="26"/>
          <w:lang w:val="en-US"/>
        </w:rPr>
        <w:t>4.5.4 Answer to Secondary RQ3</w:t>
      </w:r>
    </w:p>
    <w:p w:rsidR="00B571C3" w:rsidRDefault="00B571C3" w:rsidP="0041383B">
      <w:pPr>
        <w:rPr>
          <w:rFonts w:cstheme="minorHAnsi"/>
          <w:szCs w:val="26"/>
          <w:lang w:val="en-US"/>
        </w:rPr>
      </w:pPr>
      <w:r>
        <w:rPr>
          <w:rFonts w:cstheme="minorHAnsi"/>
          <w:szCs w:val="26"/>
          <w:lang w:val="en-US"/>
        </w:rPr>
        <w:t>Yes, Digital ESG divergence is common and sectorally patterned</w:t>
      </w:r>
      <w:r w:rsidR="006A714C">
        <w:rPr>
          <w:rFonts w:cstheme="minorHAnsi"/>
          <w:szCs w:val="26"/>
          <w:lang w:val="en-US"/>
        </w:rPr>
        <w:t xml:space="preserve">. High </w:t>
      </w:r>
      <w:r w:rsidR="0041383B">
        <w:rPr>
          <w:rFonts w:cstheme="minorHAnsi"/>
          <w:szCs w:val="26"/>
          <w:lang w:val="en-US"/>
        </w:rPr>
        <w:t>D</w:t>
      </w:r>
      <w:r w:rsidR="006A714C">
        <w:rPr>
          <w:rFonts w:cstheme="minorHAnsi"/>
          <w:szCs w:val="26"/>
          <w:lang w:val="en-US"/>
        </w:rPr>
        <w:t>igital/Low ESG companies cluste</w:t>
      </w:r>
      <w:r w:rsidR="0041383B">
        <w:rPr>
          <w:rFonts w:cstheme="minorHAnsi"/>
          <w:szCs w:val="26"/>
          <w:lang w:val="en-US"/>
        </w:rPr>
        <w:t>r in C</w:t>
      </w:r>
      <w:r w:rsidR="006A714C">
        <w:rPr>
          <w:rFonts w:cstheme="minorHAnsi"/>
          <w:szCs w:val="26"/>
          <w:lang w:val="en-US"/>
        </w:rPr>
        <w:t>hemcials (10) and Capital Goods (10) not in Financial Services and IT as hypothesized. IT and Financial Services a</w:t>
      </w:r>
      <w:r w:rsidR="0041383B">
        <w:rPr>
          <w:rFonts w:cstheme="minorHAnsi"/>
          <w:szCs w:val="26"/>
          <w:lang w:val="en-US"/>
        </w:rPr>
        <w:t>re instead concentrated in High Digital/High ESG (20 and 54 companies respectively). This suggests that digital ESG divergence, where it occurs is more characteristic of industrial and manufacturing sectors than of digitally native service sectors possibly because digital tools in those sectors (process automation, control systems) do not automatically extend to environmental or governance improvements the way they might in more data/service centric industries. The hypothesis that digitally advanced service sectors would dominate the divergence quadrant is rejected by the data.</w:t>
      </w:r>
    </w:p>
    <w:p w:rsidR="0041383B" w:rsidRPr="0041383B" w:rsidRDefault="0041383B" w:rsidP="0041383B">
      <w:pPr>
        <w:rPr>
          <w:rFonts w:ascii="Times New Roman" w:hAnsi="Times New Roman" w:cs="Times New Roman"/>
          <w:sz w:val="28"/>
          <w:szCs w:val="26"/>
          <w:lang w:val="en-US"/>
        </w:rPr>
      </w:pPr>
      <w:r w:rsidRPr="0041383B">
        <w:rPr>
          <w:rFonts w:ascii="Times New Roman" w:hAnsi="Times New Roman" w:cs="Times New Roman"/>
          <w:sz w:val="28"/>
          <w:szCs w:val="26"/>
          <w:lang w:val="en-US"/>
        </w:rPr>
        <w:t>5.</w:t>
      </w:r>
      <w:r>
        <w:rPr>
          <w:rFonts w:ascii="Times New Roman" w:hAnsi="Times New Roman" w:cs="Times New Roman"/>
          <w:sz w:val="28"/>
          <w:szCs w:val="26"/>
          <w:lang w:val="en-US"/>
        </w:rPr>
        <w:t xml:space="preserve"> </w:t>
      </w:r>
      <w:r w:rsidRPr="0041383B">
        <w:rPr>
          <w:rFonts w:ascii="Times New Roman" w:hAnsi="Times New Roman" w:cs="Times New Roman"/>
          <w:sz w:val="28"/>
          <w:szCs w:val="26"/>
          <w:lang w:val="en-US"/>
        </w:rPr>
        <w:t>Discussion</w:t>
      </w:r>
    </w:p>
    <w:p w:rsidR="00B571C3" w:rsidRPr="00104E7A" w:rsidRDefault="00104E7A" w:rsidP="0054615C">
      <w:pPr>
        <w:rPr>
          <w:rFonts w:ascii="Times New Roman" w:hAnsi="Times New Roman" w:cs="Times New Roman"/>
          <w:sz w:val="26"/>
          <w:szCs w:val="26"/>
          <w:lang w:val="en-US"/>
        </w:rPr>
      </w:pPr>
      <w:r w:rsidRPr="00104E7A">
        <w:rPr>
          <w:rFonts w:ascii="Times New Roman" w:hAnsi="Times New Roman" w:cs="Times New Roman"/>
          <w:sz w:val="26"/>
          <w:szCs w:val="26"/>
          <w:lang w:val="en-US"/>
        </w:rPr>
        <w:t xml:space="preserve">5.1 Synthesis of Findings </w:t>
      </w:r>
    </w:p>
    <w:p w:rsidR="00B571C3" w:rsidRDefault="00104E7A" w:rsidP="0054615C">
      <w:pPr>
        <w:rPr>
          <w:rFonts w:cstheme="minorHAnsi"/>
          <w:szCs w:val="26"/>
          <w:lang w:val="en-US"/>
        </w:rPr>
      </w:pPr>
      <w:r>
        <w:rPr>
          <w:rFonts w:cstheme="minorHAnsi"/>
          <w:szCs w:val="26"/>
          <w:lang w:val="en-US"/>
        </w:rPr>
        <w:t>This study</w:t>
      </w:r>
      <w:r w:rsidR="002F6219">
        <w:rPr>
          <w:rFonts w:cstheme="minorHAnsi"/>
          <w:szCs w:val="26"/>
          <w:lang w:val="en-US"/>
        </w:rPr>
        <w:t xml:space="preserve"> produces four interconnected findings that collectively challenge the simplistic narrative that “digital transformation drives ESG performance”</w:t>
      </w:r>
    </w:p>
    <w:p w:rsidR="002F6219" w:rsidRDefault="002F6219" w:rsidP="0054615C">
      <w:pPr>
        <w:rPr>
          <w:rFonts w:cstheme="minorHAnsi"/>
          <w:szCs w:val="26"/>
          <w:lang w:val="en-US"/>
        </w:rPr>
      </w:pPr>
      <w:r>
        <w:rPr>
          <w:rFonts w:cstheme="minorHAnsi"/>
          <w:szCs w:val="26"/>
          <w:lang w:val="en-US"/>
        </w:rPr>
        <w:t>Finding 1: No Independent DO-ESG relationship. Once industry is controlled for, digital orientation loses all predictive power for ESG performance. The raw correlation (r</w:t>
      </w:r>
      <w:r w:rsidR="002A2C9B">
        <w:rPr>
          <w:rFonts w:cstheme="minorHAnsi"/>
          <w:szCs w:val="26"/>
          <w:lang w:val="en-US"/>
        </w:rPr>
        <w:t xml:space="preserve"> </w:t>
      </w:r>
      <w:r>
        <w:rPr>
          <w:rFonts w:cstheme="minorHAnsi"/>
          <w:szCs w:val="26"/>
          <w:lang w:val="en-US"/>
        </w:rPr>
        <w:t>=</w:t>
      </w:r>
      <w:r w:rsidR="002A2C9B">
        <w:rPr>
          <w:rFonts w:cstheme="minorHAnsi"/>
          <w:szCs w:val="26"/>
          <w:lang w:val="en-US"/>
        </w:rPr>
        <w:t xml:space="preserve"> </w:t>
      </w:r>
      <w:r>
        <w:rPr>
          <w:rFonts w:cstheme="minorHAnsi"/>
          <w:szCs w:val="26"/>
          <w:lang w:val="en-US"/>
        </w:rPr>
        <w:t>0.123) is entirely attributable to sectoral composition.</w:t>
      </w:r>
    </w:p>
    <w:p w:rsidR="00104E7A" w:rsidRDefault="002A2C9B" w:rsidP="002A2C9B">
      <w:pPr>
        <w:rPr>
          <w:rFonts w:cstheme="minorHAnsi"/>
          <w:szCs w:val="26"/>
          <w:lang w:val="en-US"/>
        </w:rPr>
      </w:pPr>
      <w:r>
        <w:rPr>
          <w:rFonts w:cstheme="minorHAnsi"/>
          <w:szCs w:val="26"/>
          <w:lang w:val="en-US"/>
        </w:rPr>
        <w:lastRenderedPageBreak/>
        <w:t>Finding 2: Architecture Configuration is the only significant dimension. Among four digital orientation dimensions only infrastructure specific investment (IT systems, cybersecurity, data governance) retains a significant association with ESG and even this is modest.</w:t>
      </w:r>
    </w:p>
    <w:p w:rsidR="002A2C9B" w:rsidRDefault="002A2C9B" w:rsidP="002A2C9B">
      <w:pPr>
        <w:rPr>
          <w:rFonts w:cstheme="minorHAnsi"/>
          <w:szCs w:val="26"/>
          <w:lang w:val="en-US"/>
        </w:rPr>
      </w:pPr>
      <w:r>
        <w:rPr>
          <w:rFonts w:cstheme="minorHAnsi"/>
          <w:szCs w:val="26"/>
          <w:lang w:val="en-US"/>
        </w:rPr>
        <w:t>Finding 3: Sectoral concentration in Capital Goods. The only significant positive DO-ESG relationship appears in Capital Goods, where process automation and digital infrastruc</w:t>
      </w:r>
      <w:r w:rsidR="00265013">
        <w:rPr>
          <w:rFonts w:cstheme="minorHAnsi"/>
          <w:szCs w:val="26"/>
          <w:lang w:val="en-US"/>
        </w:rPr>
        <w:t>ture</w:t>
      </w:r>
      <w:r w:rsidR="00075528">
        <w:rPr>
          <w:rFonts w:cstheme="minorHAnsi"/>
          <w:szCs w:val="26"/>
          <w:lang w:val="en-US"/>
        </w:rPr>
        <w:t xml:space="preserve"> directly enable environmental and operational improvements.</w:t>
      </w:r>
    </w:p>
    <w:p w:rsidR="00104E7A" w:rsidRDefault="00075528" w:rsidP="0054615C">
      <w:pPr>
        <w:rPr>
          <w:rFonts w:cstheme="minorHAnsi"/>
          <w:szCs w:val="26"/>
          <w:lang w:val="en-US"/>
        </w:rPr>
      </w:pPr>
      <w:r>
        <w:rPr>
          <w:rFonts w:cstheme="minorHAnsi"/>
          <w:szCs w:val="26"/>
          <w:lang w:val="en-US"/>
        </w:rPr>
        <w:t>Finding 4: Divergence in industrial sectors. High Digital/Low ESG companies cluster in Chemicals and Capital Goods not in service sectors, suggesting that digital investment in manufacturing does not automatically translate to sustainability outcomes.</w:t>
      </w:r>
    </w:p>
    <w:p w:rsidR="00A2660E" w:rsidRPr="00AF461B" w:rsidRDefault="00AF461B" w:rsidP="0054615C">
      <w:pPr>
        <w:rPr>
          <w:rFonts w:ascii="Times New Roman" w:hAnsi="Times New Roman" w:cs="Times New Roman"/>
          <w:sz w:val="26"/>
          <w:szCs w:val="26"/>
          <w:lang w:val="en-US"/>
        </w:rPr>
      </w:pPr>
      <w:r w:rsidRPr="00AF461B">
        <w:rPr>
          <w:rFonts w:ascii="Times New Roman" w:hAnsi="Times New Roman" w:cs="Times New Roman"/>
          <w:sz w:val="26"/>
          <w:szCs w:val="26"/>
          <w:lang w:val="en-US"/>
        </w:rPr>
        <w:t xml:space="preserve">5.2 Limitations </w:t>
      </w:r>
    </w:p>
    <w:p w:rsidR="00A2660E" w:rsidRPr="008504DD" w:rsidRDefault="00AF461B" w:rsidP="0054615C">
      <w:pPr>
        <w:rPr>
          <w:rFonts w:ascii="Times New Roman" w:hAnsi="Times New Roman" w:cs="Times New Roman"/>
          <w:sz w:val="24"/>
          <w:szCs w:val="26"/>
          <w:lang w:val="en-US"/>
        </w:rPr>
      </w:pPr>
      <w:r w:rsidRPr="008504DD">
        <w:rPr>
          <w:rFonts w:ascii="Times New Roman" w:hAnsi="Times New Roman" w:cs="Times New Roman"/>
          <w:sz w:val="24"/>
          <w:szCs w:val="26"/>
          <w:lang w:val="en-US"/>
        </w:rPr>
        <w:t xml:space="preserve">Measurement limitations: </w:t>
      </w:r>
    </w:p>
    <w:p w:rsidR="00AF461B" w:rsidRDefault="00AF461B" w:rsidP="008504DD">
      <w:pPr>
        <w:pStyle w:val="ListParagraph"/>
        <w:numPr>
          <w:ilvl w:val="0"/>
          <w:numId w:val="21"/>
        </w:numPr>
        <w:rPr>
          <w:rFonts w:cstheme="minorHAnsi"/>
          <w:szCs w:val="26"/>
          <w:lang w:val="en-US"/>
        </w:rPr>
      </w:pPr>
      <w:r>
        <w:rPr>
          <w:rFonts w:cstheme="minorHAnsi"/>
          <w:szCs w:val="26"/>
          <w:lang w:val="en-US"/>
        </w:rPr>
        <w:t>DO Scores are keyword-count based, they measure what companies say about digital technology</w:t>
      </w:r>
      <w:r w:rsidR="008504DD">
        <w:rPr>
          <w:rFonts w:cstheme="minorHAnsi"/>
          <w:szCs w:val="26"/>
          <w:lang w:val="en-US"/>
        </w:rPr>
        <w:t xml:space="preserve"> in annual reports, not what they actually do. A company could use digital language without genuine operational transformation.</w:t>
      </w:r>
    </w:p>
    <w:p w:rsidR="008504DD" w:rsidRDefault="008504DD" w:rsidP="008504DD">
      <w:pPr>
        <w:rPr>
          <w:rFonts w:ascii="Times New Roman" w:hAnsi="Times New Roman" w:cs="Times New Roman"/>
          <w:sz w:val="24"/>
          <w:szCs w:val="26"/>
          <w:lang w:val="en-US"/>
        </w:rPr>
      </w:pPr>
      <w:r>
        <w:rPr>
          <w:rFonts w:ascii="Times New Roman" w:hAnsi="Times New Roman" w:cs="Times New Roman"/>
          <w:sz w:val="24"/>
          <w:szCs w:val="26"/>
          <w:lang w:val="en-US"/>
        </w:rPr>
        <w:t xml:space="preserve">Data limitations: </w:t>
      </w:r>
    </w:p>
    <w:p w:rsidR="008504DD" w:rsidRPr="008504DD" w:rsidRDefault="008504DD" w:rsidP="008504DD">
      <w:pPr>
        <w:pStyle w:val="ListParagraph"/>
        <w:numPr>
          <w:ilvl w:val="0"/>
          <w:numId w:val="21"/>
        </w:numPr>
        <w:rPr>
          <w:rFonts w:ascii="Times New Roman" w:hAnsi="Times New Roman" w:cs="Times New Roman"/>
          <w:sz w:val="24"/>
          <w:szCs w:val="26"/>
          <w:lang w:val="en-US"/>
        </w:rPr>
      </w:pPr>
      <w:r>
        <w:rPr>
          <w:rFonts w:cs="Times New Roman"/>
          <w:szCs w:val="26"/>
          <w:lang w:val="en-US"/>
        </w:rPr>
        <w:t>ESG ratings are from a single provider (CRISIL), other agencies (MSCI, Sustainanalytics, CDP) may rank companies differently.</w:t>
      </w:r>
    </w:p>
    <w:p w:rsidR="008504DD" w:rsidRPr="008504DD" w:rsidRDefault="008504DD" w:rsidP="008504DD">
      <w:pPr>
        <w:pStyle w:val="ListParagraph"/>
        <w:numPr>
          <w:ilvl w:val="0"/>
          <w:numId w:val="21"/>
        </w:numPr>
        <w:rPr>
          <w:rFonts w:ascii="Times New Roman" w:hAnsi="Times New Roman" w:cs="Times New Roman"/>
          <w:sz w:val="24"/>
          <w:szCs w:val="26"/>
          <w:lang w:val="en-US"/>
        </w:rPr>
      </w:pPr>
      <w:r>
        <w:rPr>
          <w:rFonts w:cs="Times New Roman"/>
          <w:szCs w:val="26"/>
          <w:lang w:val="en-US"/>
        </w:rPr>
        <w:t>Single-year snapshot (FY2023-24) cannot establish whether digital orientation precedes or follows ESG improvement over time.</w:t>
      </w:r>
    </w:p>
    <w:p w:rsidR="008504DD" w:rsidRPr="004A5B2C" w:rsidRDefault="008504DD" w:rsidP="008504DD">
      <w:pPr>
        <w:pStyle w:val="ListParagraph"/>
        <w:numPr>
          <w:ilvl w:val="0"/>
          <w:numId w:val="21"/>
        </w:numPr>
        <w:rPr>
          <w:rFonts w:ascii="Times New Roman" w:hAnsi="Times New Roman" w:cs="Times New Roman"/>
          <w:sz w:val="24"/>
          <w:szCs w:val="26"/>
          <w:lang w:val="en-US"/>
        </w:rPr>
      </w:pPr>
      <w:r>
        <w:rPr>
          <w:rFonts w:cs="Times New Roman"/>
          <w:szCs w:val="26"/>
          <w:lang w:val="en-US"/>
        </w:rPr>
        <w:t>14 companies lack a DO Score, 57 lack an ESG Rating missingness was not tested for randomness with respect to industry or firm characteristics.</w:t>
      </w:r>
    </w:p>
    <w:p w:rsidR="004A5B2C" w:rsidRDefault="004A5B2C" w:rsidP="004A5B2C">
      <w:pPr>
        <w:rPr>
          <w:rFonts w:ascii="Times New Roman" w:hAnsi="Times New Roman" w:cs="Times New Roman"/>
          <w:sz w:val="24"/>
          <w:szCs w:val="26"/>
          <w:lang w:val="en-US"/>
        </w:rPr>
      </w:pPr>
      <w:r>
        <w:rPr>
          <w:rFonts w:ascii="Times New Roman" w:hAnsi="Times New Roman" w:cs="Times New Roman"/>
          <w:sz w:val="24"/>
          <w:szCs w:val="26"/>
          <w:lang w:val="en-US"/>
        </w:rPr>
        <w:t>Methodological limitations:</w:t>
      </w:r>
    </w:p>
    <w:p w:rsidR="004A5B2C" w:rsidRPr="00060F2F" w:rsidRDefault="004A5B2C" w:rsidP="004A5B2C">
      <w:pPr>
        <w:pStyle w:val="ListParagraph"/>
        <w:numPr>
          <w:ilvl w:val="0"/>
          <w:numId w:val="26"/>
        </w:numPr>
        <w:rPr>
          <w:rFonts w:cs="Times New Roman"/>
          <w:szCs w:val="26"/>
          <w:lang w:val="en-US"/>
        </w:rPr>
      </w:pPr>
      <w:r w:rsidRPr="00060F2F">
        <w:rPr>
          <w:rFonts w:cs="Times New Roman"/>
          <w:szCs w:val="26"/>
          <w:lang w:val="en-US"/>
        </w:rPr>
        <w:t>OLS regression assumes a linear relationship threshold or non-linear effects are not tested.</w:t>
      </w:r>
    </w:p>
    <w:p w:rsidR="004A5B2C" w:rsidRDefault="004A5B2C" w:rsidP="004A5B2C">
      <w:pPr>
        <w:pStyle w:val="ListParagraph"/>
        <w:numPr>
          <w:ilvl w:val="0"/>
          <w:numId w:val="26"/>
        </w:numPr>
        <w:rPr>
          <w:rFonts w:cs="Times New Roman"/>
          <w:szCs w:val="26"/>
          <w:lang w:val="en-US"/>
        </w:rPr>
      </w:pPr>
      <w:r w:rsidRPr="00060F2F">
        <w:rPr>
          <w:rFonts w:cs="Times New Roman"/>
          <w:szCs w:val="26"/>
          <w:lang w:val="en-US"/>
        </w:rPr>
        <w:t>Industry fixed effects control for average sector differences, not firm-level confounders</w:t>
      </w:r>
      <w:r w:rsidR="00060F2F" w:rsidRPr="00060F2F">
        <w:rPr>
          <w:rFonts w:cs="Times New Roman"/>
          <w:szCs w:val="26"/>
          <w:lang w:val="en-US"/>
        </w:rPr>
        <w:t xml:space="preserve"> (size, age, profitability, ownership structure).</w:t>
      </w:r>
    </w:p>
    <w:p w:rsidR="00060F2F" w:rsidRDefault="00060F2F" w:rsidP="004A5B2C">
      <w:pPr>
        <w:pStyle w:val="ListParagraph"/>
        <w:numPr>
          <w:ilvl w:val="0"/>
          <w:numId w:val="26"/>
        </w:numPr>
        <w:rPr>
          <w:rFonts w:cs="Times New Roman"/>
          <w:szCs w:val="26"/>
          <w:lang w:val="en-US"/>
        </w:rPr>
      </w:pPr>
      <w:r>
        <w:rPr>
          <w:rFonts w:cs="Times New Roman"/>
          <w:szCs w:val="26"/>
          <w:lang w:val="en-US"/>
        </w:rPr>
        <w:t>Six industries with fewer than 10 companies were pooled into an “other” category for regression to avoid unstable single-industry coefficients.</w:t>
      </w:r>
    </w:p>
    <w:p w:rsidR="00060F2F" w:rsidRDefault="00060F2F" w:rsidP="00060F2F">
      <w:pPr>
        <w:rPr>
          <w:rFonts w:cs="Times New Roman"/>
          <w:szCs w:val="26"/>
          <w:lang w:val="en-US"/>
        </w:rPr>
      </w:pPr>
    </w:p>
    <w:p w:rsidR="004A5B2C" w:rsidRDefault="00060F2F" w:rsidP="00060F2F">
      <w:pPr>
        <w:rPr>
          <w:rFonts w:ascii="Times New Roman" w:hAnsi="Times New Roman" w:cs="Times New Roman"/>
          <w:sz w:val="26"/>
          <w:szCs w:val="26"/>
          <w:lang w:val="en-US"/>
        </w:rPr>
      </w:pPr>
      <w:r w:rsidRPr="00060F2F">
        <w:rPr>
          <w:rFonts w:ascii="Times New Roman" w:hAnsi="Times New Roman" w:cs="Times New Roman"/>
          <w:sz w:val="26"/>
          <w:szCs w:val="26"/>
          <w:lang w:val="en-US"/>
        </w:rPr>
        <w:t>What this study cannot claim:</w:t>
      </w:r>
    </w:p>
    <w:p w:rsidR="00060F2F" w:rsidRPr="00060F2F" w:rsidRDefault="00060F2F" w:rsidP="00060F2F">
      <w:pPr>
        <w:pStyle w:val="ListParagraph"/>
        <w:numPr>
          <w:ilvl w:val="0"/>
          <w:numId w:val="27"/>
        </w:numPr>
        <w:rPr>
          <w:rFonts w:ascii="Times New Roman" w:hAnsi="Times New Roman" w:cs="Times New Roman"/>
          <w:sz w:val="26"/>
          <w:szCs w:val="26"/>
          <w:lang w:val="en-US"/>
        </w:rPr>
      </w:pPr>
      <w:r>
        <w:rPr>
          <w:rFonts w:cs="Times New Roman"/>
          <w:szCs w:val="26"/>
          <w:lang w:val="en-US"/>
        </w:rPr>
        <w:t>Causality: A weak, industry confounded association does not establish that digital investment causes or fails to cause, ESG improvement.</w:t>
      </w:r>
    </w:p>
    <w:p w:rsidR="004A5B2C" w:rsidRPr="002562F7" w:rsidRDefault="00060F2F" w:rsidP="00060F2F">
      <w:pPr>
        <w:pStyle w:val="ListParagraph"/>
        <w:numPr>
          <w:ilvl w:val="0"/>
          <w:numId w:val="27"/>
        </w:numPr>
        <w:rPr>
          <w:rFonts w:ascii="Times New Roman" w:hAnsi="Times New Roman" w:cs="Times New Roman"/>
          <w:sz w:val="26"/>
          <w:szCs w:val="26"/>
          <w:lang w:val="en-US"/>
        </w:rPr>
      </w:pPr>
      <w:r>
        <w:rPr>
          <w:rFonts w:cs="Times New Roman"/>
          <w:szCs w:val="26"/>
          <w:lang w:val="en-US"/>
        </w:rPr>
        <w:t xml:space="preserve">Generalizability beyond India or beyond FY2023-24. The Indian regulatory context (BRSR) and market structure may produce different patterns than other emerging or developed markets. </w:t>
      </w:r>
    </w:p>
    <w:p w:rsidR="00F17C8F" w:rsidRDefault="00F17C8F" w:rsidP="002562F7">
      <w:pPr>
        <w:rPr>
          <w:rFonts w:ascii="Times New Roman" w:hAnsi="Times New Roman" w:cs="Times New Roman"/>
          <w:sz w:val="26"/>
          <w:szCs w:val="26"/>
          <w:lang w:val="en-US"/>
        </w:rPr>
      </w:pPr>
    </w:p>
    <w:p w:rsidR="002562F7" w:rsidRPr="002562F7" w:rsidRDefault="002562F7" w:rsidP="002562F7">
      <w:pPr>
        <w:rPr>
          <w:rFonts w:ascii="Times New Roman" w:hAnsi="Times New Roman" w:cs="Times New Roman"/>
          <w:sz w:val="28"/>
          <w:szCs w:val="26"/>
          <w:lang w:val="en-US"/>
        </w:rPr>
      </w:pPr>
      <w:r w:rsidRPr="002562F7">
        <w:rPr>
          <w:rFonts w:ascii="Times New Roman" w:hAnsi="Times New Roman" w:cs="Times New Roman"/>
          <w:sz w:val="28"/>
          <w:szCs w:val="26"/>
          <w:lang w:val="en-US"/>
        </w:rPr>
        <w:t>CONCLUSION</w:t>
      </w:r>
    </w:p>
    <w:p w:rsidR="004C02FE" w:rsidRDefault="002562F7" w:rsidP="00F17C8F">
      <w:pPr>
        <w:rPr>
          <w:rFonts w:cs="Times New Roman"/>
          <w:szCs w:val="26"/>
          <w:lang w:val="en-US"/>
        </w:rPr>
      </w:pPr>
      <w:r w:rsidRPr="00F17C8F">
        <w:rPr>
          <w:rFonts w:cs="Times New Roman"/>
          <w:szCs w:val="26"/>
          <w:lang w:val="en-US"/>
        </w:rPr>
        <w:t xml:space="preserve">This </w:t>
      </w:r>
      <w:r w:rsidR="00F17C8F">
        <w:rPr>
          <w:rFonts w:cs="Times New Roman"/>
          <w:szCs w:val="26"/>
          <w:lang w:val="en-US"/>
        </w:rPr>
        <w:t xml:space="preserve">study provides the first large-scale empirical test of the digital orientation ESG performance relationship in the Indian market, using a validated multidimensional construct and rigorous industry fixed effects methodology across 437 Nifty </w:t>
      </w:r>
      <w:r w:rsidR="004C02FE">
        <w:rPr>
          <w:rFonts w:cs="Times New Roman"/>
          <w:szCs w:val="26"/>
          <w:lang w:val="en-US"/>
        </w:rPr>
        <w:t>500 companies.</w:t>
      </w:r>
    </w:p>
    <w:p w:rsidR="004C02FE" w:rsidRDefault="004C02FE" w:rsidP="00F17C8F">
      <w:pPr>
        <w:rPr>
          <w:rFonts w:cs="Times New Roman"/>
          <w:szCs w:val="26"/>
          <w:lang w:val="en-US"/>
        </w:rPr>
      </w:pPr>
      <w:r>
        <w:rPr>
          <w:rFonts w:cs="Times New Roman"/>
          <w:szCs w:val="26"/>
          <w:lang w:val="en-US"/>
        </w:rPr>
        <w:t>The central finding is that digital orientation does not independently predict ESG performance once industry, membership is controlled for. The raw positive correlation (r = 0.123) is a statistical artifact of sectoral composition Information Technology and Financial Services score high on both dimensions independently, while Metals &amp; Mining and Chemicals score low on ESG despite moderate digital intensity.</w:t>
      </w:r>
    </w:p>
    <w:p w:rsidR="002562F7" w:rsidRDefault="004C02FE" w:rsidP="004C02FE">
      <w:pPr>
        <w:rPr>
          <w:rFonts w:cs="Times New Roman"/>
          <w:szCs w:val="26"/>
          <w:lang w:val="en-US"/>
        </w:rPr>
      </w:pPr>
      <w:r>
        <w:rPr>
          <w:rFonts w:cs="Times New Roman"/>
          <w:szCs w:val="26"/>
          <w:lang w:val="en-US"/>
        </w:rPr>
        <w:lastRenderedPageBreak/>
        <w:t>Among the four dimensions of digital orientation, only Digital Architecture Configuration encompassing IT infrastructure, cybersecurity and data governance retains significant, if modest independent association with ESG rating. This suggests that where digital investment does matter for ESG, it matters through tangible infrastructure rather than through digital rhetoric, capability building or ecosystem partnerships.</w:t>
      </w:r>
    </w:p>
    <w:p w:rsidR="002562F7" w:rsidRDefault="004C02FE" w:rsidP="00E257EB">
      <w:pPr>
        <w:rPr>
          <w:rFonts w:cs="Times New Roman"/>
          <w:szCs w:val="26"/>
          <w:lang w:val="en-US"/>
        </w:rPr>
      </w:pPr>
      <w:r>
        <w:rPr>
          <w:rFonts w:cs="Times New Roman"/>
          <w:szCs w:val="26"/>
          <w:lang w:val="en-US"/>
        </w:rPr>
        <w:t>The sector level pattern is concentrated almost entirely in Capital Goods, the only industry with a statistically significant positive</w:t>
      </w:r>
      <w:r w:rsidR="00E257EB">
        <w:rPr>
          <w:rFonts w:cs="Times New Roman"/>
          <w:szCs w:val="26"/>
          <w:lang w:val="en-US"/>
        </w:rPr>
        <w:t xml:space="preserve"> DO-ESG correlation. Information Technology, despite being the most digitally intensive sector, shows no correlation whatsoever.</w:t>
      </w:r>
    </w:p>
    <w:p w:rsidR="00E257EB" w:rsidRDefault="00E257EB" w:rsidP="00E257EB">
      <w:pPr>
        <w:rPr>
          <w:rFonts w:cs="Times New Roman"/>
          <w:szCs w:val="26"/>
          <w:lang w:val="en-US"/>
        </w:rPr>
      </w:pPr>
      <w:r>
        <w:rPr>
          <w:rFonts w:cs="Times New Roman"/>
          <w:szCs w:val="26"/>
          <w:lang w:val="en-US"/>
        </w:rPr>
        <w:t>Finally, companies where digital orientation and ESG performance diverge most are concentrated in industrial sectors (Chemicals, Capital Goods) rather than the digitally native service sectors originally hypothesized. This suggest that digital tools in manufacturing process automation, control systems do not automatically extend to environmental or governance improvements the way data centric digital investments might in service industries.</w:t>
      </w:r>
    </w:p>
    <w:p w:rsidR="002562F7" w:rsidRDefault="00E257EB" w:rsidP="00165F54">
      <w:pPr>
        <w:rPr>
          <w:rFonts w:cs="Times New Roman"/>
          <w:szCs w:val="26"/>
          <w:lang w:val="en-US"/>
        </w:rPr>
      </w:pPr>
      <w:r>
        <w:rPr>
          <w:rFonts w:cs="Times New Roman"/>
          <w:szCs w:val="26"/>
          <w:lang w:val="en-US"/>
        </w:rPr>
        <w:t>Overall, the evidence favors the interpretation that “digital adoption and ESG performance are largely independent, industry driven phenomena” over “digital orientation drives ESG performance”, with a narrow exception for infrastructure</w:t>
      </w:r>
      <w:r w:rsidR="00165F54">
        <w:rPr>
          <w:rFonts w:cs="Times New Roman"/>
          <w:szCs w:val="26"/>
          <w:lang w:val="en-US"/>
        </w:rPr>
        <w:t xml:space="preserve"> specific investment in sectors where such investment directly enables operational efficiency and governance transparency.</w:t>
      </w:r>
    </w:p>
    <w:p w:rsidR="005524DE" w:rsidRDefault="005524DE" w:rsidP="00165F54">
      <w:pPr>
        <w:rPr>
          <w:rFonts w:cs="Times New Roman"/>
          <w:szCs w:val="26"/>
          <w:lang w:val="en-US"/>
        </w:rPr>
      </w:pPr>
    </w:p>
    <w:p w:rsidR="00CA7B8C" w:rsidRPr="00CA7B8C" w:rsidRDefault="00CA7B8C" w:rsidP="00165F54">
      <w:pPr>
        <w:rPr>
          <w:rFonts w:ascii="Times New Roman" w:hAnsi="Times New Roman" w:cs="Times New Roman"/>
          <w:sz w:val="28"/>
          <w:szCs w:val="26"/>
          <w:lang w:val="en-US"/>
        </w:rPr>
      </w:pPr>
      <w:r w:rsidRPr="00CA7B8C">
        <w:rPr>
          <w:rFonts w:ascii="Times New Roman" w:hAnsi="Times New Roman" w:cs="Times New Roman"/>
          <w:sz w:val="28"/>
          <w:szCs w:val="26"/>
          <w:lang w:val="en-US"/>
        </w:rPr>
        <w:t>REFERENCES</w:t>
      </w:r>
    </w:p>
    <w:p w:rsidR="00CA7B8C" w:rsidRDefault="002E516B" w:rsidP="00CA7B8C">
      <w:pPr>
        <w:pStyle w:val="ListParagraph"/>
        <w:numPr>
          <w:ilvl w:val="0"/>
          <w:numId w:val="29"/>
        </w:numPr>
        <w:rPr>
          <w:rFonts w:cs="Times New Roman"/>
          <w:szCs w:val="26"/>
          <w:lang w:val="en-US"/>
        </w:rPr>
      </w:pPr>
      <w:r>
        <w:rPr>
          <w:rStyle w:val="Strong"/>
        </w:rPr>
        <w:t>Bharadwaj, A., El Sawy, O. A., Pavlou, P. A., &amp; Venkatraman, N. (2013).</w:t>
      </w:r>
      <w:r>
        <w:t xml:space="preserve"> Digital business strategy: Toward a next generation of insights. </w:t>
      </w:r>
      <w:r>
        <w:rPr>
          <w:rStyle w:val="Emphasis"/>
        </w:rPr>
        <w:t>MIS Quarterly</w:t>
      </w:r>
      <w:r>
        <w:t>, 37(2), 471-482.</w:t>
      </w:r>
    </w:p>
    <w:p w:rsidR="00CA7B8C" w:rsidRDefault="002E516B" w:rsidP="00CA7B8C">
      <w:pPr>
        <w:pStyle w:val="ListParagraph"/>
        <w:numPr>
          <w:ilvl w:val="0"/>
          <w:numId w:val="29"/>
        </w:numPr>
        <w:rPr>
          <w:rFonts w:cs="Times New Roman"/>
          <w:szCs w:val="26"/>
          <w:lang w:val="en-US"/>
        </w:rPr>
      </w:pPr>
      <w:r>
        <w:rPr>
          <w:rStyle w:val="Strong"/>
        </w:rPr>
        <w:t>Eccles, R. G., Ioannou, I., &amp; Serafeim, G. (2014).</w:t>
      </w:r>
      <w:r>
        <w:t xml:space="preserve"> The impact of corporate sustainability on organizational processes and performance. </w:t>
      </w:r>
      <w:r>
        <w:rPr>
          <w:rStyle w:val="Emphasis"/>
        </w:rPr>
        <w:t>Management Science</w:t>
      </w:r>
      <w:r>
        <w:t>, 60(11), 2835-2857.</w:t>
      </w:r>
    </w:p>
    <w:p w:rsidR="00CA7B8C" w:rsidRDefault="002E516B" w:rsidP="00CA7B8C">
      <w:pPr>
        <w:pStyle w:val="ListParagraph"/>
        <w:numPr>
          <w:ilvl w:val="0"/>
          <w:numId w:val="29"/>
        </w:numPr>
        <w:rPr>
          <w:rFonts w:cs="Times New Roman"/>
          <w:szCs w:val="26"/>
          <w:lang w:val="en-US"/>
        </w:rPr>
      </w:pPr>
      <w:r>
        <w:rPr>
          <w:rStyle w:val="Strong"/>
        </w:rPr>
        <w:t>Kane, G. C., Palmer, D., Phillips, A. N., Kiron, D., &amp; Buckley, N. (2015, July 14).</w:t>
      </w:r>
      <w:r>
        <w:t xml:space="preserve"> Strategy, not technology, drives digital transformation. </w:t>
      </w:r>
      <w:r>
        <w:rPr>
          <w:rStyle w:val="Emphasis"/>
        </w:rPr>
        <w:t>MIT Sloan Management Review</w:t>
      </w:r>
      <w:r>
        <w:t>.</w:t>
      </w:r>
    </w:p>
    <w:p w:rsidR="00514E4C" w:rsidRDefault="002E516B" w:rsidP="00710A0F">
      <w:pPr>
        <w:pStyle w:val="ListParagraph"/>
        <w:numPr>
          <w:ilvl w:val="0"/>
          <w:numId w:val="29"/>
        </w:numPr>
        <w:rPr>
          <w:rFonts w:cs="Times New Roman"/>
          <w:szCs w:val="26"/>
          <w:lang w:val="en-US"/>
        </w:rPr>
      </w:pPr>
      <w:proofErr w:type="spellStart"/>
      <w:r>
        <w:rPr>
          <w:rStyle w:val="Strong"/>
        </w:rPr>
        <w:t>Kindermann</w:t>
      </w:r>
      <w:proofErr w:type="spellEnd"/>
      <w:r>
        <w:rPr>
          <w:rStyle w:val="Strong"/>
        </w:rPr>
        <w:t>, B., Beutel, S., Garcia de Lomana, G., Strese, S., Bendig, D., &amp; Brettel, M. (2021).</w:t>
      </w:r>
      <w:r>
        <w:t xml:space="preserve"> Digital orientation: Conceptualization and operationalization of a new strategic orientation. </w:t>
      </w:r>
      <w:r>
        <w:rPr>
          <w:rStyle w:val="Emphasis"/>
        </w:rPr>
        <w:t>European Management Journal</w:t>
      </w:r>
      <w:r>
        <w:t>, 39(5), 645-657.</w:t>
      </w:r>
    </w:p>
    <w:p w:rsidR="00514E4C" w:rsidRDefault="00514E4C" w:rsidP="00CA7B8C">
      <w:pPr>
        <w:pStyle w:val="ListParagraph"/>
        <w:numPr>
          <w:ilvl w:val="0"/>
          <w:numId w:val="29"/>
        </w:numPr>
        <w:rPr>
          <w:rFonts w:cs="Times New Roman"/>
          <w:szCs w:val="26"/>
          <w:lang w:val="en-US"/>
        </w:rPr>
      </w:pPr>
      <w:r w:rsidRPr="005015B7">
        <w:rPr>
          <w:rFonts w:cs="Times New Roman"/>
          <w:b/>
          <w:szCs w:val="26"/>
          <w:lang w:val="en-US"/>
        </w:rPr>
        <w:t>CRISIL Limited. (2024)</w:t>
      </w:r>
      <w:r>
        <w:rPr>
          <w:rFonts w:cs="Times New Roman"/>
          <w:szCs w:val="26"/>
          <w:lang w:val="en-US"/>
        </w:rPr>
        <w:t>. ESG Ratings and Assessments. Mumbai: CRISIL Research.</w:t>
      </w:r>
    </w:p>
    <w:p w:rsidR="00CA7B8C" w:rsidRPr="005524DE" w:rsidRDefault="00514E4C" w:rsidP="005524DE">
      <w:pPr>
        <w:pStyle w:val="ListParagraph"/>
        <w:numPr>
          <w:ilvl w:val="0"/>
          <w:numId w:val="29"/>
        </w:numPr>
        <w:rPr>
          <w:rFonts w:cs="Times New Roman"/>
          <w:szCs w:val="26"/>
          <w:lang w:val="en-US"/>
        </w:rPr>
      </w:pPr>
      <w:r w:rsidRPr="005015B7">
        <w:rPr>
          <w:rFonts w:cs="Times New Roman"/>
          <w:b/>
          <w:szCs w:val="26"/>
          <w:lang w:val="en-US"/>
        </w:rPr>
        <w:t>Securities and Exchange Board of India (SEBI). (2021).</w:t>
      </w:r>
      <w:r>
        <w:rPr>
          <w:rFonts w:cs="Times New Roman"/>
          <w:szCs w:val="26"/>
          <w:lang w:val="en-US"/>
        </w:rPr>
        <w:t xml:space="preserve"> Business Responsibility and Sustainability Reporting (BRSR) Framework. Circular No. SEBI/HO/CFD/CMD-2/P/CIR/2021/562.</w:t>
      </w:r>
    </w:p>
    <w:p w:rsidR="00CA7B8C" w:rsidRPr="00165F54" w:rsidRDefault="00CA7B8C" w:rsidP="00165F54">
      <w:pPr>
        <w:rPr>
          <w:rFonts w:cs="Times New Roman"/>
          <w:szCs w:val="26"/>
          <w:lang w:val="en-US"/>
        </w:rPr>
      </w:pPr>
    </w:p>
    <w:p w:rsidR="004A5B2C" w:rsidRDefault="005524DE" w:rsidP="004A5B2C">
      <w:pPr>
        <w:rPr>
          <w:rFonts w:ascii="Times New Roman" w:hAnsi="Times New Roman" w:cs="Times New Roman"/>
          <w:sz w:val="28"/>
          <w:szCs w:val="26"/>
          <w:lang w:val="en-US"/>
        </w:rPr>
      </w:pPr>
      <w:r w:rsidRPr="0083209E">
        <w:rPr>
          <w:rFonts w:ascii="Times New Roman" w:hAnsi="Times New Roman" w:cs="Times New Roman"/>
          <w:sz w:val="28"/>
          <w:szCs w:val="26"/>
          <w:lang w:val="en-US"/>
        </w:rPr>
        <w:t xml:space="preserve">APPENDIX A: TOP AND BOTTOM PERFORMERS </w:t>
      </w:r>
    </w:p>
    <w:p w:rsidR="00A2660E" w:rsidRPr="00206547" w:rsidRDefault="0083209E" w:rsidP="00A2660E">
      <w:pPr>
        <w:rPr>
          <w:rFonts w:ascii="Times New Roman" w:hAnsi="Times New Roman" w:cs="Times New Roman"/>
          <w:sz w:val="24"/>
          <w:szCs w:val="26"/>
          <w:lang w:val="en-US"/>
        </w:rPr>
      </w:pPr>
      <w:r w:rsidRPr="0083209E">
        <w:rPr>
          <w:rFonts w:ascii="Times New Roman" w:hAnsi="Times New Roman" w:cs="Times New Roman"/>
          <w:sz w:val="24"/>
          <w:szCs w:val="26"/>
          <w:lang w:val="en-US"/>
        </w:rPr>
        <w:t xml:space="preserve">Top 10 Companies by ESG Rating </w:t>
      </w: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83209E" w:rsidRPr="00206547" w:rsidTr="00206547">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Rank</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Company</w:t>
            </w:r>
          </w:p>
        </w:tc>
        <w:tc>
          <w:tcPr>
            <w:tcW w:w="1743"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ESG Rating</w:t>
            </w:r>
          </w:p>
        </w:tc>
        <w:tc>
          <w:tcPr>
            <w:tcW w:w="1743"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Industry</w:t>
            </w:r>
          </w:p>
        </w:tc>
        <w:tc>
          <w:tcPr>
            <w:tcW w:w="1743"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DO Score</w:t>
            </w:r>
          </w:p>
        </w:tc>
        <w:tc>
          <w:tcPr>
            <w:tcW w:w="1743"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DO Tier</w:t>
            </w:r>
          </w:p>
        </w:tc>
      </w:tr>
      <w:tr w:rsidR="0083209E" w:rsidRPr="00206547" w:rsidTr="00206547">
        <w:trPr>
          <w:trHeight w:val="722"/>
        </w:trPr>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1</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Infosys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77</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Information Technology</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7.43</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Leadership</w:t>
            </w:r>
          </w:p>
        </w:tc>
      </w:tr>
      <w:tr w:rsidR="0083209E" w:rsidRPr="00206547" w:rsidTr="00206547">
        <w:trPr>
          <w:trHeight w:val="859"/>
        </w:trPr>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2</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Tech Mahindra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75</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Information Technology</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7.30</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Leadership</w:t>
            </w:r>
          </w:p>
        </w:tc>
      </w:tr>
      <w:tr w:rsidR="0083209E" w:rsidRPr="00206547" w:rsidTr="00206547">
        <w:tc>
          <w:tcPr>
            <w:tcW w:w="1742" w:type="dxa"/>
          </w:tcPr>
          <w:p w:rsidR="0083209E" w:rsidRPr="00206547" w:rsidRDefault="000138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3</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HCL Technologies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74</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Information Technology</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10.25</w:t>
            </w:r>
          </w:p>
        </w:tc>
        <w:tc>
          <w:tcPr>
            <w:tcW w:w="1743" w:type="dxa"/>
          </w:tcPr>
          <w:p w:rsidR="0083209E" w:rsidRPr="00206547" w:rsidRDefault="00206547" w:rsidP="00206547">
            <w:pPr>
              <w:jc w:val="center"/>
              <w:rPr>
                <w:rFonts w:ascii="Times New Roman" w:hAnsi="Times New Roman" w:cs="Times New Roman"/>
                <w:b/>
                <w:sz w:val="24"/>
                <w:szCs w:val="24"/>
                <w:lang w:val="en-US"/>
              </w:rPr>
            </w:pPr>
            <w:r w:rsidRPr="00206547">
              <w:rPr>
                <w:rFonts w:ascii="Times New Roman" w:hAnsi="Times New Roman" w:cs="Times New Roman"/>
                <w:sz w:val="24"/>
                <w:szCs w:val="24"/>
                <w:lang w:val="en-US"/>
              </w:rPr>
              <w:t>Leadership</w:t>
            </w:r>
          </w:p>
        </w:tc>
      </w:tr>
      <w:tr w:rsidR="0083209E" w:rsidRPr="00206547" w:rsidTr="00206547">
        <w:trPr>
          <w:trHeight w:val="869"/>
        </w:trPr>
        <w:tc>
          <w:tcPr>
            <w:tcW w:w="1742" w:type="dxa"/>
          </w:tcPr>
          <w:p w:rsidR="0083209E" w:rsidRPr="00206547" w:rsidRDefault="000138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4</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Persistent Systems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74</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Information Technology</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7.07</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Leadership</w:t>
            </w:r>
          </w:p>
        </w:tc>
      </w:tr>
      <w:tr w:rsidR="0083209E" w:rsidRPr="00206547" w:rsidTr="00206547">
        <w:trPr>
          <w:trHeight w:val="840"/>
        </w:trPr>
        <w:tc>
          <w:tcPr>
            <w:tcW w:w="1742" w:type="dxa"/>
          </w:tcPr>
          <w:p w:rsidR="0083209E" w:rsidRPr="00206547" w:rsidRDefault="000138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lastRenderedPageBreak/>
              <w:t>5</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LTI</w:t>
            </w:r>
            <w:r w:rsidR="00416689" w:rsidRPr="00206547">
              <w:rPr>
                <w:rFonts w:ascii="Times New Roman" w:hAnsi="Times New Roman" w:cs="Times New Roman"/>
                <w:sz w:val="24"/>
                <w:szCs w:val="24"/>
                <w:lang w:val="en-US"/>
              </w:rPr>
              <w:t xml:space="preserve"> </w:t>
            </w:r>
            <w:r w:rsidRPr="00206547">
              <w:rPr>
                <w:rFonts w:ascii="Times New Roman" w:hAnsi="Times New Roman" w:cs="Times New Roman"/>
                <w:sz w:val="24"/>
                <w:szCs w:val="24"/>
                <w:lang w:val="en-US"/>
              </w:rPr>
              <w:t>Mindtree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73</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Information Technology</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N/A</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N/A</w:t>
            </w:r>
          </w:p>
        </w:tc>
      </w:tr>
      <w:tr w:rsidR="0083209E" w:rsidRPr="00206547" w:rsidTr="00206547">
        <w:tc>
          <w:tcPr>
            <w:tcW w:w="1742" w:type="dxa"/>
          </w:tcPr>
          <w:p w:rsidR="0083209E" w:rsidRPr="00206547" w:rsidRDefault="000138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6</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Tata Consultancy Services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73</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Information Technology</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8.96</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Leadership</w:t>
            </w:r>
          </w:p>
        </w:tc>
      </w:tr>
      <w:tr w:rsidR="0083209E" w:rsidRPr="00206547" w:rsidTr="00206547">
        <w:trPr>
          <w:trHeight w:val="863"/>
        </w:trPr>
        <w:tc>
          <w:tcPr>
            <w:tcW w:w="1742" w:type="dxa"/>
          </w:tcPr>
          <w:p w:rsidR="0083209E" w:rsidRPr="00206547" w:rsidRDefault="000138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Wipro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73</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Information Technology</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6.36</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Leadership</w:t>
            </w:r>
          </w:p>
        </w:tc>
      </w:tr>
      <w:tr w:rsidR="0083209E" w:rsidRPr="00206547" w:rsidTr="00206547">
        <w:trPr>
          <w:trHeight w:val="847"/>
        </w:trPr>
        <w:tc>
          <w:tcPr>
            <w:tcW w:w="1742" w:type="dxa"/>
          </w:tcPr>
          <w:p w:rsidR="0083209E" w:rsidRPr="00206547" w:rsidRDefault="000138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8</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HDFC Bank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72</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Financial Services</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6.61</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Medium</w:t>
            </w:r>
          </w:p>
        </w:tc>
      </w:tr>
      <w:tr w:rsidR="0083209E" w:rsidRPr="00206547" w:rsidTr="00206547">
        <w:tc>
          <w:tcPr>
            <w:tcW w:w="1742" w:type="dxa"/>
          </w:tcPr>
          <w:p w:rsidR="0083209E" w:rsidRPr="00206547" w:rsidRDefault="000138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9</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Zensar Technologies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71</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Information Technology</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6.94</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Leadership</w:t>
            </w:r>
          </w:p>
        </w:tc>
      </w:tr>
      <w:tr w:rsidR="0083209E" w:rsidRPr="00206547" w:rsidTr="00206547">
        <w:trPr>
          <w:trHeight w:val="871"/>
        </w:trPr>
        <w:tc>
          <w:tcPr>
            <w:tcW w:w="1742" w:type="dxa"/>
          </w:tcPr>
          <w:p w:rsidR="0083209E" w:rsidRPr="00206547" w:rsidRDefault="000138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10</w:t>
            </w:r>
          </w:p>
        </w:tc>
        <w:tc>
          <w:tcPr>
            <w:tcW w:w="1742" w:type="dxa"/>
          </w:tcPr>
          <w:p w:rsidR="0083209E" w:rsidRPr="00206547" w:rsidRDefault="0083209E"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ICICI Bank Ltd.</w:t>
            </w:r>
          </w:p>
        </w:tc>
        <w:tc>
          <w:tcPr>
            <w:tcW w:w="1743" w:type="dxa"/>
          </w:tcPr>
          <w:p w:rsidR="0083209E" w:rsidRPr="00206547" w:rsidRDefault="00416689"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70</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Financial Services</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11.61</w:t>
            </w:r>
          </w:p>
        </w:tc>
        <w:tc>
          <w:tcPr>
            <w:tcW w:w="1743" w:type="dxa"/>
          </w:tcPr>
          <w:p w:rsidR="0083209E" w:rsidRPr="00206547" w:rsidRDefault="00206547" w:rsidP="00206547">
            <w:pPr>
              <w:jc w:val="center"/>
              <w:rPr>
                <w:rFonts w:ascii="Times New Roman" w:hAnsi="Times New Roman" w:cs="Times New Roman"/>
                <w:sz w:val="24"/>
                <w:szCs w:val="24"/>
                <w:lang w:val="en-US"/>
              </w:rPr>
            </w:pPr>
            <w:r w:rsidRPr="00206547">
              <w:rPr>
                <w:rFonts w:ascii="Times New Roman" w:hAnsi="Times New Roman" w:cs="Times New Roman"/>
                <w:sz w:val="24"/>
                <w:szCs w:val="24"/>
                <w:lang w:val="en-US"/>
              </w:rPr>
              <w:t>High</w:t>
            </w:r>
          </w:p>
        </w:tc>
      </w:tr>
    </w:tbl>
    <w:p w:rsidR="00A2660E" w:rsidRDefault="00A2660E" w:rsidP="0054615C">
      <w:pPr>
        <w:rPr>
          <w:rFonts w:cstheme="minorHAnsi"/>
          <w:szCs w:val="26"/>
          <w:lang w:val="en-US"/>
        </w:rPr>
      </w:pPr>
    </w:p>
    <w:p w:rsidR="00B0661F" w:rsidRDefault="00B0661F" w:rsidP="0054615C">
      <w:pPr>
        <w:rPr>
          <w:rFonts w:cstheme="minorHAnsi"/>
          <w:szCs w:val="26"/>
          <w:lang w:val="en-US"/>
        </w:rPr>
      </w:pPr>
    </w:p>
    <w:p w:rsidR="00210B57" w:rsidRPr="002262EE" w:rsidRDefault="002262EE" w:rsidP="0054615C">
      <w:pPr>
        <w:rPr>
          <w:rFonts w:ascii="Times New Roman" w:hAnsi="Times New Roman" w:cs="Times New Roman"/>
          <w:sz w:val="24"/>
          <w:szCs w:val="26"/>
          <w:lang w:val="en-US"/>
        </w:rPr>
      </w:pPr>
      <w:r w:rsidRPr="002262EE">
        <w:rPr>
          <w:rFonts w:ascii="Times New Roman" w:hAnsi="Times New Roman" w:cs="Times New Roman"/>
          <w:sz w:val="24"/>
          <w:szCs w:val="26"/>
          <w:lang w:val="en-US"/>
        </w:rPr>
        <w:t>Bottom 10 Companies by ESG Rating</w:t>
      </w:r>
    </w:p>
    <w:tbl>
      <w:tblPr>
        <w:tblStyle w:val="TableGrid"/>
        <w:tblW w:w="0" w:type="auto"/>
        <w:tblLook w:val="04A0" w:firstRow="1" w:lastRow="0" w:firstColumn="1" w:lastColumn="0" w:noHBand="0" w:noVBand="1"/>
      </w:tblPr>
      <w:tblGrid>
        <w:gridCol w:w="1649"/>
        <w:gridCol w:w="1709"/>
        <w:gridCol w:w="1662"/>
        <w:gridCol w:w="2136"/>
        <w:gridCol w:w="1653"/>
        <w:gridCol w:w="1647"/>
      </w:tblGrid>
      <w:tr w:rsidR="00DE3ACC" w:rsidTr="00DE3AC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Rank</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Company</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ESG Rating</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Industry</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DO Score</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DO Tier</w:t>
            </w:r>
          </w:p>
        </w:tc>
      </w:tr>
      <w:tr w:rsidR="00DE3ACC" w:rsidTr="0030099C">
        <w:trPr>
          <w:trHeight w:val="697"/>
        </w:trPr>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444</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Swan Corp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41</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Chemicals</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2.94</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Low</w:t>
            </w:r>
          </w:p>
        </w:tc>
      </w:tr>
      <w:tr w:rsidR="00DE3ACC" w:rsidTr="0030099C">
        <w:trPr>
          <w:trHeight w:val="706"/>
        </w:trPr>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443</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Phoenix Mills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43</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Realty</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2.35</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Low</w:t>
            </w:r>
          </w:p>
        </w:tc>
      </w:tr>
      <w:tr w:rsidR="00DE3ACC" w:rsidTr="0030099C">
        <w:trPr>
          <w:trHeight w:val="687"/>
        </w:trPr>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442</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Reliance Power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44</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Power</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3.12</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Low</w:t>
            </w:r>
          </w:p>
        </w:tc>
      </w:tr>
      <w:tr w:rsidR="00DE3ACC" w:rsidTr="0030099C">
        <w:trPr>
          <w:trHeight w:val="697"/>
        </w:trPr>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441</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Nava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44</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Power</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2.52</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Low</w:t>
            </w:r>
          </w:p>
        </w:tc>
      </w:tr>
      <w:tr w:rsidR="00DE3ACC" w:rsidTr="00DE3AC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440</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Fertilisers &amp; Chemicals Travancore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44</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Chemicals</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1.75</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Low</w:t>
            </w:r>
          </w:p>
        </w:tc>
      </w:tr>
      <w:tr w:rsidR="00DE3ACC" w:rsidTr="00DE3AC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439</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Sarda Energy and Minerals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45</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Metals &amp; Mining</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24.36</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High</w:t>
            </w:r>
          </w:p>
        </w:tc>
      </w:tr>
      <w:tr w:rsidR="00DE3ACC" w:rsidTr="0030099C">
        <w:trPr>
          <w:trHeight w:val="735"/>
        </w:trPr>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438</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ITI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45</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Telecommunication</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8.46</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High</w:t>
            </w:r>
          </w:p>
        </w:tc>
      </w:tr>
      <w:tr w:rsidR="00DE3ACC" w:rsidTr="0030099C">
        <w:trPr>
          <w:trHeight w:val="845"/>
        </w:trPr>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437</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Hindustan Copper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45</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Metals &amp; Mining</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3.55</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Low</w:t>
            </w:r>
          </w:p>
        </w:tc>
      </w:tr>
      <w:tr w:rsidR="00DE3ACC" w:rsidTr="0030099C">
        <w:trPr>
          <w:trHeight w:val="687"/>
        </w:trPr>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436</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Deepak Nitrite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45</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Chemicals</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9.75</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High</w:t>
            </w:r>
          </w:p>
        </w:tc>
      </w:tr>
      <w:tr w:rsidR="00DE3ACC" w:rsidTr="00DE3AC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435</w:t>
            </w:r>
          </w:p>
        </w:tc>
        <w:tc>
          <w:tcPr>
            <w:tcW w:w="1742"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Oil &amp; Natural Gas Corporation Ltd.</w:t>
            </w:r>
          </w:p>
        </w:tc>
        <w:tc>
          <w:tcPr>
            <w:tcW w:w="1743" w:type="dxa"/>
          </w:tcPr>
          <w:p w:rsidR="00DE3ACC" w:rsidRPr="00B57691" w:rsidRDefault="00DE3ACC"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46</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Oil Gas &amp; Consumable Fuels</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3.37</w:t>
            </w:r>
          </w:p>
        </w:tc>
        <w:tc>
          <w:tcPr>
            <w:tcW w:w="1743" w:type="dxa"/>
          </w:tcPr>
          <w:p w:rsidR="00DE3ACC" w:rsidRPr="00B57691" w:rsidRDefault="00B57691" w:rsidP="00B57691">
            <w:pPr>
              <w:jc w:val="center"/>
              <w:rPr>
                <w:rFonts w:ascii="Times New Roman" w:hAnsi="Times New Roman" w:cs="Times New Roman"/>
                <w:sz w:val="24"/>
                <w:szCs w:val="24"/>
                <w:lang w:val="en-US"/>
              </w:rPr>
            </w:pPr>
            <w:r w:rsidRPr="00B57691">
              <w:rPr>
                <w:rFonts w:ascii="Times New Roman" w:hAnsi="Times New Roman" w:cs="Times New Roman"/>
                <w:sz w:val="24"/>
                <w:szCs w:val="24"/>
                <w:lang w:val="en-US"/>
              </w:rPr>
              <w:t>Low</w:t>
            </w:r>
          </w:p>
        </w:tc>
      </w:tr>
    </w:tbl>
    <w:p w:rsidR="002732D7" w:rsidRDefault="002732D7" w:rsidP="0054615C">
      <w:pPr>
        <w:rPr>
          <w:rFonts w:cstheme="minorHAnsi"/>
          <w:szCs w:val="26"/>
          <w:lang w:val="en-US"/>
        </w:rPr>
      </w:pPr>
    </w:p>
    <w:p w:rsidR="009B6E6A" w:rsidRDefault="00383682" w:rsidP="0054615C">
      <w:pPr>
        <w:rPr>
          <w:rFonts w:ascii="Times New Roman" w:hAnsi="Times New Roman" w:cs="Times New Roman"/>
          <w:sz w:val="24"/>
          <w:szCs w:val="26"/>
          <w:lang w:val="en-US"/>
        </w:rPr>
      </w:pPr>
      <w:r w:rsidRPr="00383682">
        <w:rPr>
          <w:rFonts w:ascii="Times New Roman" w:hAnsi="Times New Roman" w:cs="Times New Roman"/>
          <w:sz w:val="24"/>
          <w:szCs w:val="26"/>
          <w:lang w:val="en-US"/>
        </w:rPr>
        <w:lastRenderedPageBreak/>
        <w:t>Top 10 Companies by DO Score</w:t>
      </w:r>
    </w:p>
    <w:tbl>
      <w:tblPr>
        <w:tblStyle w:val="TableGrid"/>
        <w:tblW w:w="0" w:type="auto"/>
        <w:tblLook w:val="04A0" w:firstRow="1" w:lastRow="0" w:firstColumn="1" w:lastColumn="0" w:noHBand="0" w:noVBand="1"/>
      </w:tblPr>
      <w:tblGrid>
        <w:gridCol w:w="1729"/>
        <w:gridCol w:w="1789"/>
        <w:gridCol w:w="1731"/>
        <w:gridCol w:w="1739"/>
        <w:gridCol w:w="1732"/>
        <w:gridCol w:w="1736"/>
      </w:tblGrid>
      <w:tr w:rsidR="00F0632E" w:rsidTr="00F0632E">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Rank</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Company</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DO Score</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Industry</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ESG Rating</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ESG Category</w:t>
            </w:r>
          </w:p>
        </w:tc>
      </w:tr>
      <w:tr w:rsidR="00F0632E" w:rsidTr="001433F7">
        <w:trPr>
          <w:trHeight w:val="659"/>
        </w:trPr>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1</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MMTC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30.79</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Services</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48</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Below Average</w:t>
            </w:r>
          </w:p>
        </w:tc>
      </w:tr>
      <w:tr w:rsidR="00F0632E" w:rsidTr="00F0632E">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2</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HDFC Life Insurance Company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30.79</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Financial Services</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64</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Strong</w:t>
            </w:r>
          </w:p>
        </w:tc>
      </w:tr>
      <w:tr w:rsidR="00F0632E" w:rsidTr="00F0632E">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3</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Glenmark Pharmaceuticals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29.99</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Healthcare</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61</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Strong</w:t>
            </w:r>
          </w:p>
        </w:tc>
      </w:tr>
      <w:tr w:rsidR="00F0632E" w:rsidTr="00F0632E">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4</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Jyothy Labs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29.47</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Fast Moving Consumer Goods</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58</w:t>
            </w:r>
          </w:p>
        </w:tc>
        <w:tc>
          <w:tcPr>
            <w:tcW w:w="1743" w:type="dxa"/>
          </w:tcPr>
          <w:p w:rsidR="001433F7" w:rsidRDefault="001433F7" w:rsidP="001433F7">
            <w:pPr>
              <w:jc w:val="center"/>
              <w:rPr>
                <w:rFonts w:ascii="Times New Roman" w:hAnsi="Times New Roman" w:cs="Times New Roman"/>
                <w:sz w:val="24"/>
                <w:szCs w:val="26"/>
                <w:lang w:val="en-US"/>
              </w:rPr>
            </w:pPr>
          </w:p>
          <w:p w:rsidR="00F0632E" w:rsidRPr="001433F7"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Adequate</w:t>
            </w:r>
          </w:p>
        </w:tc>
      </w:tr>
      <w:tr w:rsidR="00F0632E" w:rsidTr="001433F7">
        <w:trPr>
          <w:trHeight w:val="748"/>
        </w:trPr>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5</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Kajaria Ceramics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28.98</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Consumer Durables</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54</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Adequate</w:t>
            </w:r>
          </w:p>
        </w:tc>
      </w:tr>
      <w:tr w:rsidR="00F0632E" w:rsidTr="001433F7">
        <w:trPr>
          <w:trHeight w:val="883"/>
        </w:trPr>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6</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JM Financial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28.98</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Financial Services</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52</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Adequate</w:t>
            </w:r>
          </w:p>
        </w:tc>
      </w:tr>
      <w:tr w:rsidR="00F0632E" w:rsidTr="00F0632E">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7</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Jindal Steel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28.81</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Metals &amp; Mining</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48</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Below Average</w:t>
            </w:r>
          </w:p>
        </w:tc>
      </w:tr>
      <w:tr w:rsidR="00F0632E" w:rsidTr="001433F7">
        <w:trPr>
          <w:trHeight w:val="841"/>
        </w:trPr>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8</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Pidilite Industries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27.85</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Chemicals</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54</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Adequate</w:t>
            </w:r>
          </w:p>
        </w:tc>
      </w:tr>
      <w:tr w:rsidR="00F0632E" w:rsidTr="00F0632E">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9</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Hero MotoCorp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25.93</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Automobile and Auto Components</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63</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Strong</w:t>
            </w:r>
          </w:p>
        </w:tc>
      </w:tr>
      <w:tr w:rsidR="00F0632E" w:rsidTr="001433F7">
        <w:trPr>
          <w:trHeight w:val="857"/>
        </w:trPr>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10</w:t>
            </w:r>
          </w:p>
        </w:tc>
        <w:tc>
          <w:tcPr>
            <w:tcW w:w="1742"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Alok Industries Ltd.</w:t>
            </w:r>
          </w:p>
        </w:tc>
        <w:tc>
          <w:tcPr>
            <w:tcW w:w="1743" w:type="dxa"/>
          </w:tcPr>
          <w:p w:rsidR="00F0632E" w:rsidRDefault="00F0632E"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24.98</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Textiles</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49</w:t>
            </w:r>
          </w:p>
        </w:tc>
        <w:tc>
          <w:tcPr>
            <w:tcW w:w="1743" w:type="dxa"/>
          </w:tcPr>
          <w:p w:rsidR="00F0632E" w:rsidRDefault="001433F7" w:rsidP="001433F7">
            <w:pPr>
              <w:jc w:val="center"/>
              <w:rPr>
                <w:rFonts w:ascii="Times New Roman" w:hAnsi="Times New Roman" w:cs="Times New Roman"/>
                <w:sz w:val="24"/>
                <w:szCs w:val="26"/>
                <w:lang w:val="en-US"/>
              </w:rPr>
            </w:pPr>
            <w:r>
              <w:rPr>
                <w:rFonts w:ascii="Times New Roman" w:hAnsi="Times New Roman" w:cs="Times New Roman"/>
                <w:sz w:val="24"/>
                <w:szCs w:val="26"/>
                <w:lang w:val="en-US"/>
              </w:rPr>
              <w:t>Below Average</w:t>
            </w:r>
          </w:p>
        </w:tc>
      </w:tr>
    </w:tbl>
    <w:p w:rsidR="00383682" w:rsidRDefault="00383682" w:rsidP="001433F7">
      <w:pPr>
        <w:jc w:val="center"/>
        <w:rPr>
          <w:rFonts w:ascii="Times New Roman" w:hAnsi="Times New Roman" w:cs="Times New Roman"/>
          <w:sz w:val="24"/>
          <w:szCs w:val="26"/>
          <w:lang w:val="en-US"/>
        </w:rPr>
      </w:pPr>
    </w:p>
    <w:p w:rsidR="009B6E6A" w:rsidRDefault="00E02A0B" w:rsidP="0054615C">
      <w:pPr>
        <w:rPr>
          <w:rFonts w:ascii="Times New Roman" w:hAnsi="Times New Roman" w:cs="Times New Roman"/>
          <w:sz w:val="28"/>
          <w:szCs w:val="26"/>
          <w:lang w:val="en-US"/>
        </w:rPr>
      </w:pPr>
      <w:r w:rsidRPr="00E02A0B">
        <w:rPr>
          <w:rFonts w:ascii="Times New Roman" w:hAnsi="Times New Roman" w:cs="Times New Roman"/>
          <w:sz w:val="28"/>
          <w:szCs w:val="26"/>
          <w:lang w:val="en-US"/>
        </w:rPr>
        <w:t xml:space="preserve">APPENDIX B: CROSS-TABULATION – ESG CATEGORY VS DIGITAL ORIENTATION TIER </w:t>
      </w:r>
    </w:p>
    <w:tbl>
      <w:tblPr>
        <w:tblStyle w:val="TableGrid"/>
        <w:tblW w:w="0" w:type="auto"/>
        <w:tblInd w:w="1129" w:type="dxa"/>
        <w:tblLook w:val="04A0" w:firstRow="1" w:lastRow="0" w:firstColumn="1" w:lastColumn="0" w:noHBand="0" w:noVBand="1"/>
      </w:tblPr>
      <w:tblGrid>
        <w:gridCol w:w="1284"/>
        <w:gridCol w:w="1410"/>
        <w:gridCol w:w="1701"/>
        <w:gridCol w:w="1701"/>
        <w:gridCol w:w="1842"/>
      </w:tblGrid>
      <w:tr w:rsidR="00E02A0B" w:rsidRPr="00DC4DDE" w:rsidTr="00AB7E1F">
        <w:tc>
          <w:tcPr>
            <w:tcW w:w="1284"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ESG Category /DO Tier</w:t>
            </w:r>
          </w:p>
        </w:tc>
        <w:tc>
          <w:tcPr>
            <w:tcW w:w="1410"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Low</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Medium</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High</w:t>
            </w:r>
          </w:p>
        </w:tc>
        <w:tc>
          <w:tcPr>
            <w:tcW w:w="1842"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Total</w:t>
            </w:r>
          </w:p>
        </w:tc>
      </w:tr>
      <w:tr w:rsidR="00E02A0B" w:rsidRPr="00DC4DDE" w:rsidTr="00AB7E1F">
        <w:trPr>
          <w:trHeight w:val="646"/>
        </w:trPr>
        <w:tc>
          <w:tcPr>
            <w:tcW w:w="1284"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Leadership</w:t>
            </w:r>
          </w:p>
        </w:tc>
        <w:tc>
          <w:tcPr>
            <w:tcW w:w="1410"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0</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1</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7</w:t>
            </w:r>
          </w:p>
        </w:tc>
        <w:tc>
          <w:tcPr>
            <w:tcW w:w="1842"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8</w:t>
            </w:r>
          </w:p>
        </w:tc>
      </w:tr>
      <w:tr w:rsidR="00E02A0B" w:rsidRPr="00DC4DDE" w:rsidTr="00AB7E1F">
        <w:trPr>
          <w:trHeight w:val="570"/>
        </w:trPr>
        <w:tc>
          <w:tcPr>
            <w:tcW w:w="1284"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Strong</w:t>
            </w:r>
          </w:p>
        </w:tc>
        <w:tc>
          <w:tcPr>
            <w:tcW w:w="1410"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20</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55</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69</w:t>
            </w:r>
          </w:p>
        </w:tc>
        <w:tc>
          <w:tcPr>
            <w:tcW w:w="1842"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144</w:t>
            </w:r>
          </w:p>
        </w:tc>
      </w:tr>
      <w:tr w:rsidR="00E02A0B" w:rsidRPr="00DC4DDE" w:rsidTr="00AB7E1F">
        <w:trPr>
          <w:trHeight w:val="550"/>
        </w:trPr>
        <w:tc>
          <w:tcPr>
            <w:tcW w:w="1284"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Adequate</w:t>
            </w:r>
          </w:p>
        </w:tc>
        <w:tc>
          <w:tcPr>
            <w:tcW w:w="1410"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90</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86</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62</w:t>
            </w:r>
          </w:p>
        </w:tc>
        <w:tc>
          <w:tcPr>
            <w:tcW w:w="1842"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238</w:t>
            </w:r>
          </w:p>
        </w:tc>
      </w:tr>
      <w:tr w:rsidR="00E02A0B" w:rsidRPr="00DC4DDE" w:rsidTr="00AB7E1F">
        <w:trPr>
          <w:trHeight w:val="700"/>
        </w:trPr>
        <w:tc>
          <w:tcPr>
            <w:tcW w:w="1284"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Below Average</w:t>
            </w:r>
          </w:p>
        </w:tc>
        <w:tc>
          <w:tcPr>
            <w:tcW w:w="1410"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25</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11</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11</w:t>
            </w:r>
          </w:p>
        </w:tc>
        <w:tc>
          <w:tcPr>
            <w:tcW w:w="1842"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47</w:t>
            </w:r>
          </w:p>
        </w:tc>
      </w:tr>
      <w:tr w:rsidR="00E02A0B" w:rsidRPr="00DC4DDE" w:rsidTr="00AB7E1F">
        <w:trPr>
          <w:trHeight w:val="574"/>
        </w:trPr>
        <w:tc>
          <w:tcPr>
            <w:tcW w:w="1284"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Total</w:t>
            </w:r>
          </w:p>
        </w:tc>
        <w:tc>
          <w:tcPr>
            <w:tcW w:w="1410"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135</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153</w:t>
            </w:r>
          </w:p>
        </w:tc>
        <w:tc>
          <w:tcPr>
            <w:tcW w:w="1701"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149</w:t>
            </w:r>
          </w:p>
        </w:tc>
        <w:tc>
          <w:tcPr>
            <w:tcW w:w="1842" w:type="dxa"/>
          </w:tcPr>
          <w:p w:rsidR="00E02A0B" w:rsidRPr="00DC4DDE" w:rsidRDefault="00E02A0B" w:rsidP="00DC4DDE">
            <w:pPr>
              <w:jc w:val="center"/>
              <w:rPr>
                <w:rFonts w:ascii="Times New Roman" w:hAnsi="Times New Roman" w:cs="Times New Roman"/>
                <w:sz w:val="24"/>
                <w:szCs w:val="26"/>
                <w:lang w:val="en-US"/>
              </w:rPr>
            </w:pPr>
            <w:r w:rsidRPr="00DC4DDE">
              <w:rPr>
                <w:rFonts w:ascii="Times New Roman" w:hAnsi="Times New Roman" w:cs="Times New Roman"/>
                <w:sz w:val="24"/>
                <w:szCs w:val="26"/>
                <w:lang w:val="en-US"/>
              </w:rPr>
              <w:t>437</w:t>
            </w:r>
          </w:p>
        </w:tc>
      </w:tr>
    </w:tbl>
    <w:p w:rsidR="00E02A0B" w:rsidRPr="00DC4DDE" w:rsidRDefault="00E02A0B" w:rsidP="00DC4DDE">
      <w:pPr>
        <w:jc w:val="center"/>
        <w:rPr>
          <w:rFonts w:ascii="Times New Roman" w:hAnsi="Times New Roman" w:cs="Times New Roman"/>
          <w:sz w:val="24"/>
          <w:szCs w:val="26"/>
          <w:lang w:val="en-US"/>
        </w:rPr>
      </w:pPr>
    </w:p>
    <w:sectPr w:rsidR="00E02A0B" w:rsidRPr="00DC4DDE" w:rsidSect="00BA7031">
      <w:headerReference w:type="default" r:id="rId8"/>
      <w:pgSz w:w="11906" w:h="16838"/>
      <w:pgMar w:top="720" w:right="720" w:bottom="720" w:left="720" w:header="170"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1ABE" w:rsidRDefault="00821ABE" w:rsidP="00BA7031">
      <w:pPr>
        <w:spacing w:after="0" w:line="240" w:lineRule="auto"/>
      </w:pPr>
      <w:r>
        <w:separator/>
      </w:r>
    </w:p>
  </w:endnote>
  <w:endnote w:type="continuationSeparator" w:id="0">
    <w:p w:rsidR="00821ABE" w:rsidRDefault="00821ABE" w:rsidP="00BA7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1ABE" w:rsidRDefault="00821ABE" w:rsidP="00BA7031">
      <w:pPr>
        <w:spacing w:after="0" w:line="240" w:lineRule="auto"/>
      </w:pPr>
      <w:r>
        <w:separator/>
      </w:r>
    </w:p>
  </w:footnote>
  <w:footnote w:type="continuationSeparator" w:id="0">
    <w:p w:rsidR="00821ABE" w:rsidRDefault="00821ABE" w:rsidP="00BA7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516B" w:rsidRDefault="002E516B">
    <w:pPr>
      <w:pStyle w:val="Header"/>
      <w:rPr>
        <w:lang w:val="en-US"/>
      </w:rPr>
    </w:pPr>
    <w:r>
      <w:rPr>
        <w:lang w:val="en-US"/>
      </w:rPr>
      <w:t xml:space="preserve">Author: Shashank </w:t>
    </w:r>
    <w:r w:rsidR="00102531">
      <w:rPr>
        <w:lang w:val="en-US"/>
      </w:rPr>
      <w:t xml:space="preserve">Saxena </w:t>
    </w:r>
  </w:p>
  <w:p w:rsidR="00102531" w:rsidRPr="00BA7031" w:rsidRDefault="00102531">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A09CD"/>
    <w:multiLevelType w:val="multilevel"/>
    <w:tmpl w:val="41D2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8608E"/>
    <w:multiLevelType w:val="hybridMultilevel"/>
    <w:tmpl w:val="E5465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F3B61"/>
    <w:multiLevelType w:val="multilevel"/>
    <w:tmpl w:val="5F9C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135BD"/>
    <w:multiLevelType w:val="hybridMultilevel"/>
    <w:tmpl w:val="319452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C2168C"/>
    <w:multiLevelType w:val="multilevel"/>
    <w:tmpl w:val="526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5E0F3E"/>
    <w:multiLevelType w:val="multilevel"/>
    <w:tmpl w:val="CF32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2873E1"/>
    <w:multiLevelType w:val="multilevel"/>
    <w:tmpl w:val="B88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B471F2"/>
    <w:multiLevelType w:val="multilevel"/>
    <w:tmpl w:val="56B6E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31BD8"/>
    <w:multiLevelType w:val="multilevel"/>
    <w:tmpl w:val="B37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4C3D10"/>
    <w:multiLevelType w:val="multilevel"/>
    <w:tmpl w:val="7974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E71EBB"/>
    <w:multiLevelType w:val="hybridMultilevel"/>
    <w:tmpl w:val="34A2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7E3946"/>
    <w:multiLevelType w:val="multilevel"/>
    <w:tmpl w:val="CBB8DCFC"/>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6862171"/>
    <w:multiLevelType w:val="hybridMultilevel"/>
    <w:tmpl w:val="2F402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8A472C"/>
    <w:multiLevelType w:val="hybridMultilevel"/>
    <w:tmpl w:val="3522CB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3E4178"/>
    <w:multiLevelType w:val="hybridMultilevel"/>
    <w:tmpl w:val="F8F803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B4492F"/>
    <w:multiLevelType w:val="multilevel"/>
    <w:tmpl w:val="C3CA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9B1BEF"/>
    <w:multiLevelType w:val="hybridMultilevel"/>
    <w:tmpl w:val="35F2FB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A50A8C"/>
    <w:multiLevelType w:val="multilevel"/>
    <w:tmpl w:val="A0E4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1419B6"/>
    <w:multiLevelType w:val="hybridMultilevel"/>
    <w:tmpl w:val="44C6AC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ADD5747"/>
    <w:multiLevelType w:val="multilevel"/>
    <w:tmpl w:val="0570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4B04E8"/>
    <w:multiLevelType w:val="multilevel"/>
    <w:tmpl w:val="CBB8DCFC"/>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66B7FE8"/>
    <w:multiLevelType w:val="hybridMultilevel"/>
    <w:tmpl w:val="88A4A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C50670"/>
    <w:multiLevelType w:val="multilevel"/>
    <w:tmpl w:val="28D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790A29"/>
    <w:multiLevelType w:val="multilevel"/>
    <w:tmpl w:val="D546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996E86"/>
    <w:multiLevelType w:val="hybridMultilevel"/>
    <w:tmpl w:val="A33CC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0A16AE"/>
    <w:multiLevelType w:val="multilevel"/>
    <w:tmpl w:val="8CBC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586762"/>
    <w:multiLevelType w:val="hybridMultilevel"/>
    <w:tmpl w:val="BB486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A9D2FE5"/>
    <w:multiLevelType w:val="hybridMultilevel"/>
    <w:tmpl w:val="7CD8E7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3100AF"/>
    <w:multiLevelType w:val="multilevel"/>
    <w:tmpl w:val="D0EC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18"/>
  </w:num>
  <w:num w:numId="3">
    <w:abstractNumId w:val="14"/>
  </w:num>
  <w:num w:numId="4">
    <w:abstractNumId w:val="13"/>
  </w:num>
  <w:num w:numId="5">
    <w:abstractNumId w:val="19"/>
  </w:num>
  <w:num w:numId="6">
    <w:abstractNumId w:val="10"/>
  </w:num>
  <w:num w:numId="7">
    <w:abstractNumId w:val="0"/>
  </w:num>
  <w:num w:numId="8">
    <w:abstractNumId w:val="11"/>
  </w:num>
  <w:num w:numId="9">
    <w:abstractNumId w:val="25"/>
  </w:num>
  <w:num w:numId="10">
    <w:abstractNumId w:val="4"/>
  </w:num>
  <w:num w:numId="11">
    <w:abstractNumId w:val="15"/>
  </w:num>
  <w:num w:numId="12">
    <w:abstractNumId w:val="21"/>
  </w:num>
  <w:num w:numId="13">
    <w:abstractNumId w:val="17"/>
  </w:num>
  <w:num w:numId="14">
    <w:abstractNumId w:val="20"/>
  </w:num>
  <w:num w:numId="15">
    <w:abstractNumId w:val="7"/>
  </w:num>
  <w:num w:numId="16">
    <w:abstractNumId w:val="16"/>
  </w:num>
  <w:num w:numId="17">
    <w:abstractNumId w:val="23"/>
  </w:num>
  <w:num w:numId="18">
    <w:abstractNumId w:val="28"/>
  </w:num>
  <w:num w:numId="19">
    <w:abstractNumId w:val="2"/>
  </w:num>
  <w:num w:numId="20">
    <w:abstractNumId w:val="3"/>
  </w:num>
  <w:num w:numId="21">
    <w:abstractNumId w:val="24"/>
  </w:num>
  <w:num w:numId="22">
    <w:abstractNumId w:val="6"/>
  </w:num>
  <w:num w:numId="23">
    <w:abstractNumId w:val="9"/>
  </w:num>
  <w:num w:numId="24">
    <w:abstractNumId w:val="22"/>
  </w:num>
  <w:num w:numId="25">
    <w:abstractNumId w:val="5"/>
  </w:num>
  <w:num w:numId="26">
    <w:abstractNumId w:val="1"/>
  </w:num>
  <w:num w:numId="27">
    <w:abstractNumId w:val="26"/>
  </w:num>
  <w:num w:numId="28">
    <w:abstractNumId w:val="8"/>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629"/>
    <w:rsid w:val="00013847"/>
    <w:rsid w:val="00037684"/>
    <w:rsid w:val="00046F3F"/>
    <w:rsid w:val="00054628"/>
    <w:rsid w:val="00060F2F"/>
    <w:rsid w:val="00072105"/>
    <w:rsid w:val="00075528"/>
    <w:rsid w:val="000A1939"/>
    <w:rsid w:val="000E12EB"/>
    <w:rsid w:val="000E4638"/>
    <w:rsid w:val="000F2CE9"/>
    <w:rsid w:val="00102531"/>
    <w:rsid w:val="00104E7A"/>
    <w:rsid w:val="001335F4"/>
    <w:rsid w:val="001433F7"/>
    <w:rsid w:val="0014771A"/>
    <w:rsid w:val="00165F54"/>
    <w:rsid w:val="00180629"/>
    <w:rsid w:val="00184774"/>
    <w:rsid w:val="00195E38"/>
    <w:rsid w:val="001A70DA"/>
    <w:rsid w:val="001C4436"/>
    <w:rsid w:val="00206547"/>
    <w:rsid w:val="00210B57"/>
    <w:rsid w:val="00225135"/>
    <w:rsid w:val="002262EE"/>
    <w:rsid w:val="00241924"/>
    <w:rsid w:val="00243868"/>
    <w:rsid w:val="00247C2A"/>
    <w:rsid w:val="00252290"/>
    <w:rsid w:val="002562F7"/>
    <w:rsid w:val="00265013"/>
    <w:rsid w:val="002676F5"/>
    <w:rsid w:val="002732D7"/>
    <w:rsid w:val="002A2C9B"/>
    <w:rsid w:val="002A6A7E"/>
    <w:rsid w:val="002B1B9B"/>
    <w:rsid w:val="002B2007"/>
    <w:rsid w:val="002C77D1"/>
    <w:rsid w:val="002D2CB5"/>
    <w:rsid w:val="002E516B"/>
    <w:rsid w:val="002E602C"/>
    <w:rsid w:val="002F6219"/>
    <w:rsid w:val="0030099C"/>
    <w:rsid w:val="00304D35"/>
    <w:rsid w:val="00373097"/>
    <w:rsid w:val="003804CC"/>
    <w:rsid w:val="00383682"/>
    <w:rsid w:val="003B73C0"/>
    <w:rsid w:val="003E337A"/>
    <w:rsid w:val="0041383B"/>
    <w:rsid w:val="00416689"/>
    <w:rsid w:val="00420287"/>
    <w:rsid w:val="00422651"/>
    <w:rsid w:val="00426B53"/>
    <w:rsid w:val="00436C9C"/>
    <w:rsid w:val="00437F97"/>
    <w:rsid w:val="00486953"/>
    <w:rsid w:val="004A5B2C"/>
    <w:rsid w:val="004B0D90"/>
    <w:rsid w:val="004C02FE"/>
    <w:rsid w:val="004C0BA6"/>
    <w:rsid w:val="004E54A1"/>
    <w:rsid w:val="005015B7"/>
    <w:rsid w:val="0050418C"/>
    <w:rsid w:val="00514E4C"/>
    <w:rsid w:val="0054615C"/>
    <w:rsid w:val="005524DE"/>
    <w:rsid w:val="0056543A"/>
    <w:rsid w:val="005A78C3"/>
    <w:rsid w:val="005B3D2C"/>
    <w:rsid w:val="005B4B55"/>
    <w:rsid w:val="005D52DE"/>
    <w:rsid w:val="005E009A"/>
    <w:rsid w:val="005E2AE3"/>
    <w:rsid w:val="005E4ED7"/>
    <w:rsid w:val="005F3586"/>
    <w:rsid w:val="006024D3"/>
    <w:rsid w:val="00624AB4"/>
    <w:rsid w:val="00672971"/>
    <w:rsid w:val="006A714C"/>
    <w:rsid w:val="006B4A08"/>
    <w:rsid w:val="006D771C"/>
    <w:rsid w:val="006E5E2D"/>
    <w:rsid w:val="00710A0F"/>
    <w:rsid w:val="00730917"/>
    <w:rsid w:val="00750ECC"/>
    <w:rsid w:val="00752803"/>
    <w:rsid w:val="00754BC8"/>
    <w:rsid w:val="00774DD1"/>
    <w:rsid w:val="007B1607"/>
    <w:rsid w:val="007B42A9"/>
    <w:rsid w:val="007B4D27"/>
    <w:rsid w:val="007E0238"/>
    <w:rsid w:val="007E0D22"/>
    <w:rsid w:val="007F2398"/>
    <w:rsid w:val="007F4A2A"/>
    <w:rsid w:val="00821ABE"/>
    <w:rsid w:val="008310B9"/>
    <w:rsid w:val="0083209E"/>
    <w:rsid w:val="008504DD"/>
    <w:rsid w:val="00850A42"/>
    <w:rsid w:val="0085260F"/>
    <w:rsid w:val="008B5575"/>
    <w:rsid w:val="008D2096"/>
    <w:rsid w:val="008D754F"/>
    <w:rsid w:val="008F248B"/>
    <w:rsid w:val="00904BA2"/>
    <w:rsid w:val="00913D1D"/>
    <w:rsid w:val="00922213"/>
    <w:rsid w:val="00933D92"/>
    <w:rsid w:val="00982EEC"/>
    <w:rsid w:val="009949AC"/>
    <w:rsid w:val="009B6E6A"/>
    <w:rsid w:val="009D01BC"/>
    <w:rsid w:val="009D570C"/>
    <w:rsid w:val="009E53E6"/>
    <w:rsid w:val="009F3AEF"/>
    <w:rsid w:val="00A13519"/>
    <w:rsid w:val="00A2660E"/>
    <w:rsid w:val="00A33433"/>
    <w:rsid w:val="00A71643"/>
    <w:rsid w:val="00A86060"/>
    <w:rsid w:val="00A9213C"/>
    <w:rsid w:val="00AA16CB"/>
    <w:rsid w:val="00AB0041"/>
    <w:rsid w:val="00AB0AF5"/>
    <w:rsid w:val="00AB1094"/>
    <w:rsid w:val="00AB7E1F"/>
    <w:rsid w:val="00AE0FDB"/>
    <w:rsid w:val="00AF461B"/>
    <w:rsid w:val="00B0661F"/>
    <w:rsid w:val="00B142C6"/>
    <w:rsid w:val="00B24AB3"/>
    <w:rsid w:val="00B24BE1"/>
    <w:rsid w:val="00B27D46"/>
    <w:rsid w:val="00B571C3"/>
    <w:rsid w:val="00B57691"/>
    <w:rsid w:val="00BA5B49"/>
    <w:rsid w:val="00BA7031"/>
    <w:rsid w:val="00BB6169"/>
    <w:rsid w:val="00BD5803"/>
    <w:rsid w:val="00BE1CD3"/>
    <w:rsid w:val="00BF050F"/>
    <w:rsid w:val="00BF29F2"/>
    <w:rsid w:val="00C06892"/>
    <w:rsid w:val="00C104E1"/>
    <w:rsid w:val="00C21AEB"/>
    <w:rsid w:val="00C47887"/>
    <w:rsid w:val="00CA7B8C"/>
    <w:rsid w:val="00CB028C"/>
    <w:rsid w:val="00CC338F"/>
    <w:rsid w:val="00CC7F0B"/>
    <w:rsid w:val="00CD2D61"/>
    <w:rsid w:val="00CE7691"/>
    <w:rsid w:val="00CF5927"/>
    <w:rsid w:val="00D0124E"/>
    <w:rsid w:val="00D036B9"/>
    <w:rsid w:val="00D32F73"/>
    <w:rsid w:val="00D40439"/>
    <w:rsid w:val="00D50931"/>
    <w:rsid w:val="00D55AA5"/>
    <w:rsid w:val="00DA4747"/>
    <w:rsid w:val="00DA5398"/>
    <w:rsid w:val="00DB45FD"/>
    <w:rsid w:val="00DC4DDE"/>
    <w:rsid w:val="00DC549D"/>
    <w:rsid w:val="00DD2633"/>
    <w:rsid w:val="00DD521A"/>
    <w:rsid w:val="00DE3ACC"/>
    <w:rsid w:val="00DF47A3"/>
    <w:rsid w:val="00DF7A9B"/>
    <w:rsid w:val="00E02A0B"/>
    <w:rsid w:val="00E13350"/>
    <w:rsid w:val="00E21F00"/>
    <w:rsid w:val="00E225A3"/>
    <w:rsid w:val="00E257EB"/>
    <w:rsid w:val="00E3053D"/>
    <w:rsid w:val="00E3789D"/>
    <w:rsid w:val="00E455C6"/>
    <w:rsid w:val="00E50B35"/>
    <w:rsid w:val="00E54496"/>
    <w:rsid w:val="00EA27A1"/>
    <w:rsid w:val="00EB4091"/>
    <w:rsid w:val="00EC5652"/>
    <w:rsid w:val="00EE368D"/>
    <w:rsid w:val="00EE5669"/>
    <w:rsid w:val="00EE72B1"/>
    <w:rsid w:val="00EF62A1"/>
    <w:rsid w:val="00F0632E"/>
    <w:rsid w:val="00F17C8F"/>
    <w:rsid w:val="00F405A8"/>
    <w:rsid w:val="00F444D8"/>
    <w:rsid w:val="00F5134E"/>
    <w:rsid w:val="00F74BB0"/>
    <w:rsid w:val="00FC2990"/>
    <w:rsid w:val="00FC6346"/>
    <w:rsid w:val="00FD0981"/>
    <w:rsid w:val="00FD5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7E61FD"/>
  <w15:chartTrackingRefBased/>
  <w15:docId w15:val="{16DB50E0-DE60-4D6B-9308-9A94562A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2562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5280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8310B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7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031"/>
  </w:style>
  <w:style w:type="paragraph" w:styleId="Footer">
    <w:name w:val="footer"/>
    <w:basedOn w:val="Normal"/>
    <w:link w:val="FooterChar"/>
    <w:uiPriority w:val="99"/>
    <w:unhideWhenUsed/>
    <w:rsid w:val="00BA70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031"/>
  </w:style>
  <w:style w:type="character" w:styleId="Strong">
    <w:name w:val="Strong"/>
    <w:basedOn w:val="DefaultParagraphFont"/>
    <w:uiPriority w:val="22"/>
    <w:qFormat/>
    <w:rsid w:val="00BF29F2"/>
    <w:rPr>
      <w:b/>
      <w:bCs/>
    </w:rPr>
  </w:style>
  <w:style w:type="paragraph" w:customStyle="1" w:styleId="font-claude-response-body">
    <w:name w:val="font-claude-response-body"/>
    <w:basedOn w:val="Normal"/>
    <w:rsid w:val="00BF29F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52803"/>
    <w:pPr>
      <w:ind w:left="720"/>
      <w:contextualSpacing/>
    </w:pPr>
  </w:style>
  <w:style w:type="character" w:customStyle="1" w:styleId="Heading3Char">
    <w:name w:val="Heading 3 Char"/>
    <w:basedOn w:val="DefaultParagraphFont"/>
    <w:link w:val="Heading3"/>
    <w:uiPriority w:val="9"/>
    <w:rsid w:val="00752803"/>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D55AA5"/>
    <w:rPr>
      <w:i/>
      <w:iCs/>
    </w:rPr>
  </w:style>
  <w:style w:type="table" w:styleId="TableGrid">
    <w:name w:val="Table Grid"/>
    <w:basedOn w:val="TableNormal"/>
    <w:uiPriority w:val="39"/>
    <w:rsid w:val="00602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8310B9"/>
    <w:rPr>
      <w:rFonts w:asciiTheme="majorHAnsi" w:eastAsiaTheme="majorEastAsia" w:hAnsiTheme="majorHAnsi" w:cstheme="majorBidi"/>
      <w:i/>
      <w:iCs/>
      <w:color w:val="2E74B5" w:themeColor="accent1" w:themeShade="BF"/>
    </w:rPr>
  </w:style>
  <w:style w:type="character" w:styleId="PlaceholderText">
    <w:name w:val="Placeholder Text"/>
    <w:basedOn w:val="DefaultParagraphFont"/>
    <w:uiPriority w:val="99"/>
    <w:semiHidden/>
    <w:rsid w:val="008F248B"/>
    <w:rPr>
      <w:color w:val="808080"/>
    </w:rPr>
  </w:style>
  <w:style w:type="character" w:customStyle="1" w:styleId="Heading2Char">
    <w:name w:val="Heading 2 Char"/>
    <w:basedOn w:val="DefaultParagraphFont"/>
    <w:link w:val="Heading2"/>
    <w:uiPriority w:val="9"/>
    <w:rsid w:val="002562F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2473">
      <w:bodyDiv w:val="1"/>
      <w:marLeft w:val="0"/>
      <w:marRight w:val="0"/>
      <w:marTop w:val="0"/>
      <w:marBottom w:val="0"/>
      <w:divBdr>
        <w:top w:val="none" w:sz="0" w:space="0" w:color="auto"/>
        <w:left w:val="none" w:sz="0" w:space="0" w:color="auto"/>
        <w:bottom w:val="none" w:sz="0" w:space="0" w:color="auto"/>
        <w:right w:val="none" w:sz="0" w:space="0" w:color="auto"/>
      </w:divBdr>
      <w:divsChild>
        <w:div w:id="921376348">
          <w:marLeft w:val="0"/>
          <w:marRight w:val="0"/>
          <w:marTop w:val="0"/>
          <w:marBottom w:val="240"/>
          <w:divBdr>
            <w:top w:val="none" w:sz="0" w:space="0" w:color="auto"/>
            <w:left w:val="none" w:sz="0" w:space="0" w:color="auto"/>
            <w:bottom w:val="none" w:sz="0" w:space="0" w:color="auto"/>
            <w:right w:val="none" w:sz="0" w:space="0" w:color="auto"/>
          </w:divBdr>
        </w:div>
        <w:div w:id="1378319054">
          <w:marLeft w:val="0"/>
          <w:marRight w:val="0"/>
          <w:marTop w:val="0"/>
          <w:marBottom w:val="240"/>
          <w:divBdr>
            <w:top w:val="none" w:sz="0" w:space="0" w:color="auto"/>
            <w:left w:val="none" w:sz="0" w:space="0" w:color="auto"/>
            <w:bottom w:val="none" w:sz="0" w:space="0" w:color="auto"/>
            <w:right w:val="none" w:sz="0" w:space="0" w:color="auto"/>
          </w:divBdr>
        </w:div>
        <w:div w:id="1466504644">
          <w:marLeft w:val="0"/>
          <w:marRight w:val="0"/>
          <w:marTop w:val="0"/>
          <w:marBottom w:val="240"/>
          <w:divBdr>
            <w:top w:val="none" w:sz="0" w:space="0" w:color="auto"/>
            <w:left w:val="none" w:sz="0" w:space="0" w:color="auto"/>
            <w:bottom w:val="none" w:sz="0" w:space="0" w:color="auto"/>
            <w:right w:val="none" w:sz="0" w:space="0" w:color="auto"/>
          </w:divBdr>
        </w:div>
        <w:div w:id="23944068">
          <w:marLeft w:val="0"/>
          <w:marRight w:val="0"/>
          <w:marTop w:val="0"/>
          <w:marBottom w:val="240"/>
          <w:divBdr>
            <w:top w:val="none" w:sz="0" w:space="0" w:color="auto"/>
            <w:left w:val="none" w:sz="0" w:space="0" w:color="auto"/>
            <w:bottom w:val="none" w:sz="0" w:space="0" w:color="auto"/>
            <w:right w:val="none" w:sz="0" w:space="0" w:color="auto"/>
          </w:divBdr>
        </w:div>
      </w:divsChild>
    </w:div>
    <w:div w:id="112017290">
      <w:bodyDiv w:val="1"/>
      <w:marLeft w:val="0"/>
      <w:marRight w:val="0"/>
      <w:marTop w:val="0"/>
      <w:marBottom w:val="0"/>
      <w:divBdr>
        <w:top w:val="none" w:sz="0" w:space="0" w:color="auto"/>
        <w:left w:val="none" w:sz="0" w:space="0" w:color="auto"/>
        <w:bottom w:val="none" w:sz="0" w:space="0" w:color="auto"/>
        <w:right w:val="none" w:sz="0" w:space="0" w:color="auto"/>
      </w:divBdr>
      <w:divsChild>
        <w:div w:id="1671372846">
          <w:marLeft w:val="0"/>
          <w:marRight w:val="0"/>
          <w:marTop w:val="0"/>
          <w:marBottom w:val="240"/>
          <w:divBdr>
            <w:top w:val="none" w:sz="0" w:space="0" w:color="auto"/>
            <w:left w:val="none" w:sz="0" w:space="0" w:color="auto"/>
            <w:bottom w:val="none" w:sz="0" w:space="0" w:color="auto"/>
            <w:right w:val="none" w:sz="0" w:space="0" w:color="auto"/>
          </w:divBdr>
        </w:div>
        <w:div w:id="796337160">
          <w:marLeft w:val="0"/>
          <w:marRight w:val="0"/>
          <w:marTop w:val="0"/>
          <w:marBottom w:val="0"/>
          <w:divBdr>
            <w:top w:val="none" w:sz="0" w:space="0" w:color="auto"/>
            <w:left w:val="none" w:sz="0" w:space="0" w:color="auto"/>
            <w:bottom w:val="none" w:sz="0" w:space="0" w:color="auto"/>
            <w:right w:val="none" w:sz="0" w:space="0" w:color="auto"/>
          </w:divBdr>
        </w:div>
        <w:div w:id="1723292101">
          <w:marLeft w:val="0"/>
          <w:marRight w:val="0"/>
          <w:marTop w:val="0"/>
          <w:marBottom w:val="0"/>
          <w:divBdr>
            <w:top w:val="none" w:sz="0" w:space="0" w:color="auto"/>
            <w:left w:val="none" w:sz="0" w:space="0" w:color="auto"/>
            <w:bottom w:val="none" w:sz="0" w:space="0" w:color="auto"/>
            <w:right w:val="none" w:sz="0" w:space="0" w:color="auto"/>
          </w:divBdr>
        </w:div>
        <w:div w:id="167209453">
          <w:marLeft w:val="0"/>
          <w:marRight w:val="0"/>
          <w:marTop w:val="0"/>
          <w:marBottom w:val="0"/>
          <w:divBdr>
            <w:top w:val="none" w:sz="0" w:space="0" w:color="auto"/>
            <w:left w:val="none" w:sz="0" w:space="0" w:color="auto"/>
            <w:bottom w:val="none" w:sz="0" w:space="0" w:color="auto"/>
            <w:right w:val="none" w:sz="0" w:space="0" w:color="auto"/>
          </w:divBdr>
        </w:div>
        <w:div w:id="1546675507">
          <w:marLeft w:val="0"/>
          <w:marRight w:val="0"/>
          <w:marTop w:val="0"/>
          <w:marBottom w:val="0"/>
          <w:divBdr>
            <w:top w:val="none" w:sz="0" w:space="0" w:color="auto"/>
            <w:left w:val="none" w:sz="0" w:space="0" w:color="auto"/>
            <w:bottom w:val="none" w:sz="0" w:space="0" w:color="auto"/>
            <w:right w:val="none" w:sz="0" w:space="0" w:color="auto"/>
          </w:divBdr>
        </w:div>
      </w:divsChild>
    </w:div>
    <w:div w:id="187764231">
      <w:bodyDiv w:val="1"/>
      <w:marLeft w:val="0"/>
      <w:marRight w:val="0"/>
      <w:marTop w:val="0"/>
      <w:marBottom w:val="0"/>
      <w:divBdr>
        <w:top w:val="none" w:sz="0" w:space="0" w:color="auto"/>
        <w:left w:val="none" w:sz="0" w:space="0" w:color="auto"/>
        <w:bottom w:val="none" w:sz="0" w:space="0" w:color="auto"/>
        <w:right w:val="none" w:sz="0" w:space="0" w:color="auto"/>
      </w:divBdr>
      <w:divsChild>
        <w:div w:id="1462110387">
          <w:marLeft w:val="0"/>
          <w:marRight w:val="0"/>
          <w:marTop w:val="0"/>
          <w:marBottom w:val="240"/>
          <w:divBdr>
            <w:top w:val="none" w:sz="0" w:space="0" w:color="auto"/>
            <w:left w:val="none" w:sz="0" w:space="0" w:color="auto"/>
            <w:bottom w:val="none" w:sz="0" w:space="0" w:color="auto"/>
            <w:right w:val="none" w:sz="0" w:space="0" w:color="auto"/>
          </w:divBdr>
        </w:div>
        <w:div w:id="1853295803">
          <w:marLeft w:val="0"/>
          <w:marRight w:val="0"/>
          <w:marTop w:val="0"/>
          <w:marBottom w:val="0"/>
          <w:divBdr>
            <w:top w:val="none" w:sz="0" w:space="0" w:color="auto"/>
            <w:left w:val="none" w:sz="0" w:space="0" w:color="auto"/>
            <w:bottom w:val="none" w:sz="0" w:space="0" w:color="auto"/>
            <w:right w:val="none" w:sz="0" w:space="0" w:color="auto"/>
          </w:divBdr>
        </w:div>
        <w:div w:id="1987977261">
          <w:marLeft w:val="0"/>
          <w:marRight w:val="0"/>
          <w:marTop w:val="0"/>
          <w:marBottom w:val="0"/>
          <w:divBdr>
            <w:top w:val="none" w:sz="0" w:space="0" w:color="auto"/>
            <w:left w:val="none" w:sz="0" w:space="0" w:color="auto"/>
            <w:bottom w:val="none" w:sz="0" w:space="0" w:color="auto"/>
            <w:right w:val="none" w:sz="0" w:space="0" w:color="auto"/>
          </w:divBdr>
        </w:div>
        <w:div w:id="2099018079">
          <w:marLeft w:val="0"/>
          <w:marRight w:val="0"/>
          <w:marTop w:val="0"/>
          <w:marBottom w:val="0"/>
          <w:divBdr>
            <w:top w:val="none" w:sz="0" w:space="0" w:color="auto"/>
            <w:left w:val="none" w:sz="0" w:space="0" w:color="auto"/>
            <w:bottom w:val="none" w:sz="0" w:space="0" w:color="auto"/>
            <w:right w:val="none" w:sz="0" w:space="0" w:color="auto"/>
          </w:divBdr>
        </w:div>
        <w:div w:id="1539467872">
          <w:marLeft w:val="0"/>
          <w:marRight w:val="0"/>
          <w:marTop w:val="0"/>
          <w:marBottom w:val="240"/>
          <w:divBdr>
            <w:top w:val="none" w:sz="0" w:space="0" w:color="auto"/>
            <w:left w:val="none" w:sz="0" w:space="0" w:color="auto"/>
            <w:bottom w:val="none" w:sz="0" w:space="0" w:color="auto"/>
            <w:right w:val="none" w:sz="0" w:space="0" w:color="auto"/>
          </w:divBdr>
        </w:div>
        <w:div w:id="855386595">
          <w:marLeft w:val="0"/>
          <w:marRight w:val="0"/>
          <w:marTop w:val="0"/>
          <w:marBottom w:val="0"/>
          <w:divBdr>
            <w:top w:val="none" w:sz="0" w:space="0" w:color="auto"/>
            <w:left w:val="none" w:sz="0" w:space="0" w:color="auto"/>
            <w:bottom w:val="none" w:sz="0" w:space="0" w:color="auto"/>
            <w:right w:val="none" w:sz="0" w:space="0" w:color="auto"/>
          </w:divBdr>
        </w:div>
        <w:div w:id="2110200027">
          <w:marLeft w:val="0"/>
          <w:marRight w:val="0"/>
          <w:marTop w:val="0"/>
          <w:marBottom w:val="0"/>
          <w:divBdr>
            <w:top w:val="none" w:sz="0" w:space="0" w:color="auto"/>
            <w:left w:val="none" w:sz="0" w:space="0" w:color="auto"/>
            <w:bottom w:val="none" w:sz="0" w:space="0" w:color="auto"/>
            <w:right w:val="none" w:sz="0" w:space="0" w:color="auto"/>
          </w:divBdr>
        </w:div>
      </w:divsChild>
    </w:div>
    <w:div w:id="203446068">
      <w:bodyDiv w:val="1"/>
      <w:marLeft w:val="0"/>
      <w:marRight w:val="0"/>
      <w:marTop w:val="0"/>
      <w:marBottom w:val="0"/>
      <w:divBdr>
        <w:top w:val="none" w:sz="0" w:space="0" w:color="auto"/>
        <w:left w:val="none" w:sz="0" w:space="0" w:color="auto"/>
        <w:bottom w:val="none" w:sz="0" w:space="0" w:color="auto"/>
        <w:right w:val="none" w:sz="0" w:space="0" w:color="auto"/>
      </w:divBdr>
      <w:divsChild>
        <w:div w:id="452406022">
          <w:marLeft w:val="0"/>
          <w:marRight w:val="0"/>
          <w:marTop w:val="0"/>
          <w:marBottom w:val="240"/>
          <w:divBdr>
            <w:top w:val="none" w:sz="0" w:space="0" w:color="auto"/>
            <w:left w:val="none" w:sz="0" w:space="0" w:color="auto"/>
            <w:bottom w:val="none" w:sz="0" w:space="0" w:color="auto"/>
            <w:right w:val="none" w:sz="0" w:space="0" w:color="auto"/>
          </w:divBdr>
        </w:div>
        <w:div w:id="596209903">
          <w:marLeft w:val="0"/>
          <w:marRight w:val="0"/>
          <w:marTop w:val="0"/>
          <w:marBottom w:val="240"/>
          <w:divBdr>
            <w:top w:val="none" w:sz="0" w:space="0" w:color="auto"/>
            <w:left w:val="none" w:sz="0" w:space="0" w:color="auto"/>
            <w:bottom w:val="none" w:sz="0" w:space="0" w:color="auto"/>
            <w:right w:val="none" w:sz="0" w:space="0" w:color="auto"/>
          </w:divBdr>
        </w:div>
        <w:div w:id="1034572062">
          <w:marLeft w:val="0"/>
          <w:marRight w:val="0"/>
          <w:marTop w:val="0"/>
          <w:marBottom w:val="240"/>
          <w:divBdr>
            <w:top w:val="none" w:sz="0" w:space="0" w:color="auto"/>
            <w:left w:val="none" w:sz="0" w:space="0" w:color="auto"/>
            <w:bottom w:val="none" w:sz="0" w:space="0" w:color="auto"/>
            <w:right w:val="none" w:sz="0" w:space="0" w:color="auto"/>
          </w:divBdr>
        </w:div>
      </w:divsChild>
    </w:div>
    <w:div w:id="274364833">
      <w:bodyDiv w:val="1"/>
      <w:marLeft w:val="0"/>
      <w:marRight w:val="0"/>
      <w:marTop w:val="0"/>
      <w:marBottom w:val="0"/>
      <w:divBdr>
        <w:top w:val="none" w:sz="0" w:space="0" w:color="auto"/>
        <w:left w:val="none" w:sz="0" w:space="0" w:color="auto"/>
        <w:bottom w:val="none" w:sz="0" w:space="0" w:color="auto"/>
        <w:right w:val="none" w:sz="0" w:space="0" w:color="auto"/>
      </w:divBdr>
      <w:divsChild>
        <w:div w:id="1631127613">
          <w:marLeft w:val="0"/>
          <w:marRight w:val="0"/>
          <w:marTop w:val="0"/>
          <w:marBottom w:val="240"/>
          <w:divBdr>
            <w:top w:val="none" w:sz="0" w:space="0" w:color="auto"/>
            <w:left w:val="none" w:sz="0" w:space="0" w:color="auto"/>
            <w:bottom w:val="none" w:sz="0" w:space="0" w:color="auto"/>
            <w:right w:val="none" w:sz="0" w:space="0" w:color="auto"/>
          </w:divBdr>
        </w:div>
      </w:divsChild>
    </w:div>
    <w:div w:id="400644705">
      <w:bodyDiv w:val="1"/>
      <w:marLeft w:val="0"/>
      <w:marRight w:val="0"/>
      <w:marTop w:val="0"/>
      <w:marBottom w:val="0"/>
      <w:divBdr>
        <w:top w:val="none" w:sz="0" w:space="0" w:color="auto"/>
        <w:left w:val="none" w:sz="0" w:space="0" w:color="auto"/>
        <w:bottom w:val="none" w:sz="0" w:space="0" w:color="auto"/>
        <w:right w:val="none" w:sz="0" w:space="0" w:color="auto"/>
      </w:divBdr>
      <w:divsChild>
        <w:div w:id="1438601018">
          <w:marLeft w:val="0"/>
          <w:marRight w:val="0"/>
          <w:marTop w:val="0"/>
          <w:marBottom w:val="0"/>
          <w:divBdr>
            <w:top w:val="none" w:sz="0" w:space="0" w:color="auto"/>
            <w:left w:val="none" w:sz="0" w:space="0" w:color="auto"/>
            <w:bottom w:val="none" w:sz="0" w:space="0" w:color="auto"/>
            <w:right w:val="none" w:sz="0" w:space="0" w:color="auto"/>
          </w:divBdr>
        </w:div>
        <w:div w:id="248849043">
          <w:marLeft w:val="0"/>
          <w:marRight w:val="0"/>
          <w:marTop w:val="0"/>
          <w:marBottom w:val="0"/>
          <w:divBdr>
            <w:top w:val="none" w:sz="0" w:space="0" w:color="auto"/>
            <w:left w:val="none" w:sz="0" w:space="0" w:color="auto"/>
            <w:bottom w:val="none" w:sz="0" w:space="0" w:color="auto"/>
            <w:right w:val="none" w:sz="0" w:space="0" w:color="auto"/>
          </w:divBdr>
        </w:div>
        <w:div w:id="1771469967">
          <w:marLeft w:val="0"/>
          <w:marRight w:val="0"/>
          <w:marTop w:val="0"/>
          <w:marBottom w:val="0"/>
          <w:divBdr>
            <w:top w:val="none" w:sz="0" w:space="0" w:color="auto"/>
            <w:left w:val="none" w:sz="0" w:space="0" w:color="auto"/>
            <w:bottom w:val="none" w:sz="0" w:space="0" w:color="auto"/>
            <w:right w:val="none" w:sz="0" w:space="0" w:color="auto"/>
          </w:divBdr>
        </w:div>
      </w:divsChild>
    </w:div>
    <w:div w:id="428359467">
      <w:bodyDiv w:val="1"/>
      <w:marLeft w:val="0"/>
      <w:marRight w:val="0"/>
      <w:marTop w:val="0"/>
      <w:marBottom w:val="0"/>
      <w:divBdr>
        <w:top w:val="none" w:sz="0" w:space="0" w:color="auto"/>
        <w:left w:val="none" w:sz="0" w:space="0" w:color="auto"/>
        <w:bottom w:val="none" w:sz="0" w:space="0" w:color="auto"/>
        <w:right w:val="none" w:sz="0" w:space="0" w:color="auto"/>
      </w:divBdr>
      <w:divsChild>
        <w:div w:id="943224226">
          <w:marLeft w:val="0"/>
          <w:marRight w:val="0"/>
          <w:marTop w:val="0"/>
          <w:marBottom w:val="240"/>
          <w:divBdr>
            <w:top w:val="none" w:sz="0" w:space="0" w:color="auto"/>
            <w:left w:val="none" w:sz="0" w:space="0" w:color="auto"/>
            <w:bottom w:val="none" w:sz="0" w:space="0" w:color="auto"/>
            <w:right w:val="none" w:sz="0" w:space="0" w:color="auto"/>
          </w:divBdr>
        </w:div>
        <w:div w:id="2037735971">
          <w:marLeft w:val="0"/>
          <w:marRight w:val="0"/>
          <w:marTop w:val="0"/>
          <w:marBottom w:val="240"/>
          <w:divBdr>
            <w:top w:val="none" w:sz="0" w:space="0" w:color="auto"/>
            <w:left w:val="none" w:sz="0" w:space="0" w:color="auto"/>
            <w:bottom w:val="none" w:sz="0" w:space="0" w:color="auto"/>
            <w:right w:val="none" w:sz="0" w:space="0" w:color="auto"/>
          </w:divBdr>
        </w:div>
        <w:div w:id="1856459959">
          <w:blockQuote w:val="1"/>
          <w:marLeft w:val="0"/>
          <w:marRight w:val="0"/>
          <w:marTop w:val="0"/>
          <w:marBottom w:val="240"/>
          <w:divBdr>
            <w:top w:val="none" w:sz="0" w:space="0" w:color="auto"/>
            <w:left w:val="none" w:sz="0" w:space="0" w:color="auto"/>
            <w:bottom w:val="none" w:sz="0" w:space="0" w:color="auto"/>
            <w:right w:val="none" w:sz="0" w:space="0" w:color="auto"/>
          </w:divBdr>
          <w:divsChild>
            <w:div w:id="21226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52127">
      <w:bodyDiv w:val="1"/>
      <w:marLeft w:val="0"/>
      <w:marRight w:val="0"/>
      <w:marTop w:val="0"/>
      <w:marBottom w:val="0"/>
      <w:divBdr>
        <w:top w:val="none" w:sz="0" w:space="0" w:color="auto"/>
        <w:left w:val="none" w:sz="0" w:space="0" w:color="auto"/>
        <w:bottom w:val="none" w:sz="0" w:space="0" w:color="auto"/>
        <w:right w:val="none" w:sz="0" w:space="0" w:color="auto"/>
      </w:divBdr>
      <w:divsChild>
        <w:div w:id="1547722376">
          <w:marLeft w:val="0"/>
          <w:marRight w:val="0"/>
          <w:marTop w:val="0"/>
          <w:marBottom w:val="0"/>
          <w:divBdr>
            <w:top w:val="none" w:sz="0" w:space="0" w:color="auto"/>
            <w:left w:val="none" w:sz="0" w:space="0" w:color="auto"/>
            <w:bottom w:val="none" w:sz="0" w:space="0" w:color="auto"/>
            <w:right w:val="none" w:sz="0" w:space="0" w:color="auto"/>
          </w:divBdr>
        </w:div>
      </w:divsChild>
    </w:div>
    <w:div w:id="595141524">
      <w:bodyDiv w:val="1"/>
      <w:marLeft w:val="0"/>
      <w:marRight w:val="0"/>
      <w:marTop w:val="0"/>
      <w:marBottom w:val="0"/>
      <w:divBdr>
        <w:top w:val="none" w:sz="0" w:space="0" w:color="auto"/>
        <w:left w:val="none" w:sz="0" w:space="0" w:color="auto"/>
        <w:bottom w:val="none" w:sz="0" w:space="0" w:color="auto"/>
        <w:right w:val="none" w:sz="0" w:space="0" w:color="auto"/>
      </w:divBdr>
      <w:divsChild>
        <w:div w:id="682241077">
          <w:marLeft w:val="0"/>
          <w:marRight w:val="0"/>
          <w:marTop w:val="0"/>
          <w:marBottom w:val="240"/>
          <w:divBdr>
            <w:top w:val="none" w:sz="0" w:space="0" w:color="auto"/>
            <w:left w:val="none" w:sz="0" w:space="0" w:color="auto"/>
            <w:bottom w:val="none" w:sz="0" w:space="0" w:color="auto"/>
            <w:right w:val="none" w:sz="0" w:space="0" w:color="auto"/>
          </w:divBdr>
        </w:div>
        <w:div w:id="267078414">
          <w:marLeft w:val="0"/>
          <w:marRight w:val="0"/>
          <w:marTop w:val="0"/>
          <w:marBottom w:val="240"/>
          <w:divBdr>
            <w:top w:val="none" w:sz="0" w:space="0" w:color="auto"/>
            <w:left w:val="none" w:sz="0" w:space="0" w:color="auto"/>
            <w:bottom w:val="none" w:sz="0" w:space="0" w:color="auto"/>
            <w:right w:val="none" w:sz="0" w:space="0" w:color="auto"/>
          </w:divBdr>
        </w:div>
        <w:div w:id="1783306406">
          <w:marLeft w:val="0"/>
          <w:marRight w:val="0"/>
          <w:marTop w:val="0"/>
          <w:marBottom w:val="240"/>
          <w:divBdr>
            <w:top w:val="none" w:sz="0" w:space="0" w:color="auto"/>
            <w:left w:val="none" w:sz="0" w:space="0" w:color="auto"/>
            <w:bottom w:val="none" w:sz="0" w:space="0" w:color="auto"/>
            <w:right w:val="none" w:sz="0" w:space="0" w:color="auto"/>
          </w:divBdr>
        </w:div>
      </w:divsChild>
    </w:div>
    <w:div w:id="611280747">
      <w:bodyDiv w:val="1"/>
      <w:marLeft w:val="0"/>
      <w:marRight w:val="0"/>
      <w:marTop w:val="0"/>
      <w:marBottom w:val="0"/>
      <w:divBdr>
        <w:top w:val="none" w:sz="0" w:space="0" w:color="auto"/>
        <w:left w:val="none" w:sz="0" w:space="0" w:color="auto"/>
        <w:bottom w:val="none" w:sz="0" w:space="0" w:color="auto"/>
        <w:right w:val="none" w:sz="0" w:space="0" w:color="auto"/>
      </w:divBdr>
      <w:divsChild>
        <w:div w:id="729380527">
          <w:marLeft w:val="0"/>
          <w:marRight w:val="0"/>
          <w:marTop w:val="0"/>
          <w:marBottom w:val="240"/>
          <w:divBdr>
            <w:top w:val="none" w:sz="0" w:space="0" w:color="auto"/>
            <w:left w:val="none" w:sz="0" w:space="0" w:color="auto"/>
            <w:bottom w:val="none" w:sz="0" w:space="0" w:color="auto"/>
            <w:right w:val="none" w:sz="0" w:space="0" w:color="auto"/>
          </w:divBdr>
        </w:div>
        <w:div w:id="1098647176">
          <w:marLeft w:val="0"/>
          <w:marRight w:val="0"/>
          <w:marTop w:val="0"/>
          <w:marBottom w:val="240"/>
          <w:divBdr>
            <w:top w:val="none" w:sz="0" w:space="0" w:color="auto"/>
            <w:left w:val="none" w:sz="0" w:space="0" w:color="auto"/>
            <w:bottom w:val="none" w:sz="0" w:space="0" w:color="auto"/>
            <w:right w:val="none" w:sz="0" w:space="0" w:color="auto"/>
          </w:divBdr>
        </w:div>
      </w:divsChild>
    </w:div>
    <w:div w:id="628585889">
      <w:bodyDiv w:val="1"/>
      <w:marLeft w:val="0"/>
      <w:marRight w:val="0"/>
      <w:marTop w:val="0"/>
      <w:marBottom w:val="0"/>
      <w:divBdr>
        <w:top w:val="none" w:sz="0" w:space="0" w:color="auto"/>
        <w:left w:val="none" w:sz="0" w:space="0" w:color="auto"/>
        <w:bottom w:val="none" w:sz="0" w:space="0" w:color="auto"/>
        <w:right w:val="none" w:sz="0" w:space="0" w:color="auto"/>
      </w:divBdr>
      <w:divsChild>
        <w:div w:id="1980069707">
          <w:marLeft w:val="0"/>
          <w:marRight w:val="0"/>
          <w:marTop w:val="0"/>
          <w:marBottom w:val="240"/>
          <w:divBdr>
            <w:top w:val="none" w:sz="0" w:space="0" w:color="auto"/>
            <w:left w:val="none" w:sz="0" w:space="0" w:color="auto"/>
            <w:bottom w:val="none" w:sz="0" w:space="0" w:color="auto"/>
            <w:right w:val="none" w:sz="0" w:space="0" w:color="auto"/>
          </w:divBdr>
        </w:div>
        <w:div w:id="837888798">
          <w:marLeft w:val="0"/>
          <w:marRight w:val="0"/>
          <w:marTop w:val="0"/>
          <w:marBottom w:val="240"/>
          <w:divBdr>
            <w:top w:val="none" w:sz="0" w:space="0" w:color="auto"/>
            <w:left w:val="none" w:sz="0" w:space="0" w:color="auto"/>
            <w:bottom w:val="none" w:sz="0" w:space="0" w:color="auto"/>
            <w:right w:val="none" w:sz="0" w:space="0" w:color="auto"/>
          </w:divBdr>
        </w:div>
      </w:divsChild>
    </w:div>
    <w:div w:id="729378035">
      <w:bodyDiv w:val="1"/>
      <w:marLeft w:val="0"/>
      <w:marRight w:val="0"/>
      <w:marTop w:val="0"/>
      <w:marBottom w:val="0"/>
      <w:divBdr>
        <w:top w:val="none" w:sz="0" w:space="0" w:color="auto"/>
        <w:left w:val="none" w:sz="0" w:space="0" w:color="auto"/>
        <w:bottom w:val="none" w:sz="0" w:space="0" w:color="auto"/>
        <w:right w:val="none" w:sz="0" w:space="0" w:color="auto"/>
      </w:divBdr>
      <w:divsChild>
        <w:div w:id="1094474332">
          <w:marLeft w:val="0"/>
          <w:marRight w:val="0"/>
          <w:marTop w:val="0"/>
          <w:marBottom w:val="240"/>
          <w:divBdr>
            <w:top w:val="none" w:sz="0" w:space="0" w:color="auto"/>
            <w:left w:val="none" w:sz="0" w:space="0" w:color="auto"/>
            <w:bottom w:val="none" w:sz="0" w:space="0" w:color="auto"/>
            <w:right w:val="none" w:sz="0" w:space="0" w:color="auto"/>
          </w:divBdr>
        </w:div>
        <w:div w:id="2030980524">
          <w:marLeft w:val="0"/>
          <w:marRight w:val="0"/>
          <w:marTop w:val="0"/>
          <w:marBottom w:val="0"/>
          <w:divBdr>
            <w:top w:val="none" w:sz="0" w:space="0" w:color="auto"/>
            <w:left w:val="none" w:sz="0" w:space="0" w:color="auto"/>
            <w:bottom w:val="none" w:sz="0" w:space="0" w:color="auto"/>
            <w:right w:val="none" w:sz="0" w:space="0" w:color="auto"/>
          </w:divBdr>
        </w:div>
        <w:div w:id="1342053331">
          <w:marLeft w:val="0"/>
          <w:marRight w:val="0"/>
          <w:marTop w:val="0"/>
          <w:marBottom w:val="0"/>
          <w:divBdr>
            <w:top w:val="none" w:sz="0" w:space="0" w:color="auto"/>
            <w:left w:val="none" w:sz="0" w:space="0" w:color="auto"/>
            <w:bottom w:val="none" w:sz="0" w:space="0" w:color="auto"/>
            <w:right w:val="none" w:sz="0" w:space="0" w:color="auto"/>
          </w:divBdr>
        </w:div>
        <w:div w:id="2008553018">
          <w:marLeft w:val="0"/>
          <w:marRight w:val="0"/>
          <w:marTop w:val="0"/>
          <w:marBottom w:val="0"/>
          <w:divBdr>
            <w:top w:val="none" w:sz="0" w:space="0" w:color="auto"/>
            <w:left w:val="none" w:sz="0" w:space="0" w:color="auto"/>
            <w:bottom w:val="none" w:sz="0" w:space="0" w:color="auto"/>
            <w:right w:val="none" w:sz="0" w:space="0" w:color="auto"/>
          </w:divBdr>
        </w:div>
      </w:divsChild>
    </w:div>
    <w:div w:id="841820785">
      <w:bodyDiv w:val="1"/>
      <w:marLeft w:val="0"/>
      <w:marRight w:val="0"/>
      <w:marTop w:val="0"/>
      <w:marBottom w:val="0"/>
      <w:divBdr>
        <w:top w:val="none" w:sz="0" w:space="0" w:color="auto"/>
        <w:left w:val="none" w:sz="0" w:space="0" w:color="auto"/>
        <w:bottom w:val="none" w:sz="0" w:space="0" w:color="auto"/>
        <w:right w:val="none" w:sz="0" w:space="0" w:color="auto"/>
      </w:divBdr>
      <w:divsChild>
        <w:div w:id="296568234">
          <w:marLeft w:val="0"/>
          <w:marRight w:val="0"/>
          <w:marTop w:val="0"/>
          <w:marBottom w:val="240"/>
          <w:divBdr>
            <w:top w:val="none" w:sz="0" w:space="0" w:color="auto"/>
            <w:left w:val="none" w:sz="0" w:space="0" w:color="auto"/>
            <w:bottom w:val="none" w:sz="0" w:space="0" w:color="auto"/>
            <w:right w:val="none" w:sz="0" w:space="0" w:color="auto"/>
          </w:divBdr>
        </w:div>
        <w:div w:id="602999657">
          <w:marLeft w:val="0"/>
          <w:marRight w:val="0"/>
          <w:marTop w:val="0"/>
          <w:marBottom w:val="240"/>
          <w:divBdr>
            <w:top w:val="none" w:sz="0" w:space="0" w:color="auto"/>
            <w:left w:val="none" w:sz="0" w:space="0" w:color="auto"/>
            <w:bottom w:val="none" w:sz="0" w:space="0" w:color="auto"/>
            <w:right w:val="none" w:sz="0" w:space="0" w:color="auto"/>
          </w:divBdr>
        </w:div>
        <w:div w:id="1454130472">
          <w:marLeft w:val="0"/>
          <w:marRight w:val="0"/>
          <w:marTop w:val="0"/>
          <w:marBottom w:val="240"/>
          <w:divBdr>
            <w:top w:val="none" w:sz="0" w:space="0" w:color="auto"/>
            <w:left w:val="none" w:sz="0" w:space="0" w:color="auto"/>
            <w:bottom w:val="none" w:sz="0" w:space="0" w:color="auto"/>
            <w:right w:val="none" w:sz="0" w:space="0" w:color="auto"/>
          </w:divBdr>
        </w:div>
        <w:div w:id="536697917">
          <w:marLeft w:val="0"/>
          <w:marRight w:val="0"/>
          <w:marTop w:val="0"/>
          <w:marBottom w:val="240"/>
          <w:divBdr>
            <w:top w:val="none" w:sz="0" w:space="0" w:color="auto"/>
            <w:left w:val="none" w:sz="0" w:space="0" w:color="auto"/>
            <w:bottom w:val="none" w:sz="0" w:space="0" w:color="auto"/>
            <w:right w:val="none" w:sz="0" w:space="0" w:color="auto"/>
          </w:divBdr>
        </w:div>
        <w:div w:id="547881672">
          <w:marLeft w:val="0"/>
          <w:marRight w:val="0"/>
          <w:marTop w:val="0"/>
          <w:marBottom w:val="240"/>
          <w:divBdr>
            <w:top w:val="none" w:sz="0" w:space="0" w:color="auto"/>
            <w:left w:val="none" w:sz="0" w:space="0" w:color="auto"/>
            <w:bottom w:val="none" w:sz="0" w:space="0" w:color="auto"/>
            <w:right w:val="none" w:sz="0" w:space="0" w:color="auto"/>
          </w:divBdr>
        </w:div>
        <w:div w:id="648286856">
          <w:marLeft w:val="0"/>
          <w:marRight w:val="0"/>
          <w:marTop w:val="0"/>
          <w:marBottom w:val="0"/>
          <w:divBdr>
            <w:top w:val="none" w:sz="0" w:space="0" w:color="auto"/>
            <w:left w:val="none" w:sz="0" w:space="0" w:color="auto"/>
            <w:bottom w:val="none" w:sz="0" w:space="0" w:color="auto"/>
            <w:right w:val="none" w:sz="0" w:space="0" w:color="auto"/>
          </w:divBdr>
        </w:div>
        <w:div w:id="160394588">
          <w:marLeft w:val="0"/>
          <w:marRight w:val="0"/>
          <w:marTop w:val="0"/>
          <w:marBottom w:val="0"/>
          <w:divBdr>
            <w:top w:val="none" w:sz="0" w:space="0" w:color="auto"/>
            <w:left w:val="none" w:sz="0" w:space="0" w:color="auto"/>
            <w:bottom w:val="none" w:sz="0" w:space="0" w:color="auto"/>
            <w:right w:val="none" w:sz="0" w:space="0" w:color="auto"/>
          </w:divBdr>
        </w:div>
        <w:div w:id="206452462">
          <w:marLeft w:val="0"/>
          <w:marRight w:val="0"/>
          <w:marTop w:val="0"/>
          <w:marBottom w:val="0"/>
          <w:divBdr>
            <w:top w:val="none" w:sz="0" w:space="0" w:color="auto"/>
            <w:left w:val="none" w:sz="0" w:space="0" w:color="auto"/>
            <w:bottom w:val="none" w:sz="0" w:space="0" w:color="auto"/>
            <w:right w:val="none" w:sz="0" w:space="0" w:color="auto"/>
          </w:divBdr>
        </w:div>
        <w:div w:id="1466386649">
          <w:marLeft w:val="0"/>
          <w:marRight w:val="0"/>
          <w:marTop w:val="0"/>
          <w:marBottom w:val="240"/>
          <w:divBdr>
            <w:top w:val="none" w:sz="0" w:space="0" w:color="auto"/>
            <w:left w:val="none" w:sz="0" w:space="0" w:color="auto"/>
            <w:bottom w:val="none" w:sz="0" w:space="0" w:color="auto"/>
            <w:right w:val="none" w:sz="0" w:space="0" w:color="auto"/>
          </w:divBdr>
        </w:div>
        <w:div w:id="1033266274">
          <w:marLeft w:val="0"/>
          <w:marRight w:val="0"/>
          <w:marTop w:val="0"/>
          <w:marBottom w:val="240"/>
          <w:divBdr>
            <w:top w:val="none" w:sz="0" w:space="0" w:color="auto"/>
            <w:left w:val="none" w:sz="0" w:space="0" w:color="auto"/>
            <w:bottom w:val="none" w:sz="0" w:space="0" w:color="auto"/>
            <w:right w:val="none" w:sz="0" w:space="0" w:color="auto"/>
          </w:divBdr>
        </w:div>
      </w:divsChild>
    </w:div>
    <w:div w:id="857423280">
      <w:bodyDiv w:val="1"/>
      <w:marLeft w:val="0"/>
      <w:marRight w:val="0"/>
      <w:marTop w:val="0"/>
      <w:marBottom w:val="0"/>
      <w:divBdr>
        <w:top w:val="none" w:sz="0" w:space="0" w:color="auto"/>
        <w:left w:val="none" w:sz="0" w:space="0" w:color="auto"/>
        <w:bottom w:val="none" w:sz="0" w:space="0" w:color="auto"/>
        <w:right w:val="none" w:sz="0" w:space="0" w:color="auto"/>
      </w:divBdr>
      <w:divsChild>
        <w:div w:id="403645500">
          <w:marLeft w:val="0"/>
          <w:marRight w:val="0"/>
          <w:marTop w:val="0"/>
          <w:marBottom w:val="0"/>
          <w:divBdr>
            <w:top w:val="none" w:sz="0" w:space="0" w:color="auto"/>
            <w:left w:val="none" w:sz="0" w:space="0" w:color="auto"/>
            <w:bottom w:val="none" w:sz="0" w:space="0" w:color="auto"/>
            <w:right w:val="none" w:sz="0" w:space="0" w:color="auto"/>
          </w:divBdr>
        </w:div>
        <w:div w:id="843714481">
          <w:marLeft w:val="0"/>
          <w:marRight w:val="0"/>
          <w:marTop w:val="0"/>
          <w:marBottom w:val="0"/>
          <w:divBdr>
            <w:top w:val="none" w:sz="0" w:space="0" w:color="auto"/>
            <w:left w:val="none" w:sz="0" w:space="0" w:color="auto"/>
            <w:bottom w:val="none" w:sz="0" w:space="0" w:color="auto"/>
            <w:right w:val="none" w:sz="0" w:space="0" w:color="auto"/>
          </w:divBdr>
        </w:div>
        <w:div w:id="82576521">
          <w:marLeft w:val="0"/>
          <w:marRight w:val="0"/>
          <w:marTop w:val="0"/>
          <w:marBottom w:val="0"/>
          <w:divBdr>
            <w:top w:val="none" w:sz="0" w:space="0" w:color="auto"/>
            <w:left w:val="none" w:sz="0" w:space="0" w:color="auto"/>
            <w:bottom w:val="none" w:sz="0" w:space="0" w:color="auto"/>
            <w:right w:val="none" w:sz="0" w:space="0" w:color="auto"/>
          </w:divBdr>
        </w:div>
        <w:div w:id="125976078">
          <w:marLeft w:val="0"/>
          <w:marRight w:val="0"/>
          <w:marTop w:val="0"/>
          <w:marBottom w:val="0"/>
          <w:divBdr>
            <w:top w:val="none" w:sz="0" w:space="0" w:color="auto"/>
            <w:left w:val="none" w:sz="0" w:space="0" w:color="auto"/>
            <w:bottom w:val="none" w:sz="0" w:space="0" w:color="auto"/>
            <w:right w:val="none" w:sz="0" w:space="0" w:color="auto"/>
          </w:divBdr>
        </w:div>
        <w:div w:id="1197232250">
          <w:marLeft w:val="0"/>
          <w:marRight w:val="0"/>
          <w:marTop w:val="0"/>
          <w:marBottom w:val="0"/>
          <w:divBdr>
            <w:top w:val="none" w:sz="0" w:space="0" w:color="auto"/>
            <w:left w:val="none" w:sz="0" w:space="0" w:color="auto"/>
            <w:bottom w:val="none" w:sz="0" w:space="0" w:color="auto"/>
            <w:right w:val="none" w:sz="0" w:space="0" w:color="auto"/>
          </w:divBdr>
        </w:div>
        <w:div w:id="115567671">
          <w:marLeft w:val="0"/>
          <w:marRight w:val="0"/>
          <w:marTop w:val="0"/>
          <w:marBottom w:val="0"/>
          <w:divBdr>
            <w:top w:val="none" w:sz="0" w:space="0" w:color="auto"/>
            <w:left w:val="none" w:sz="0" w:space="0" w:color="auto"/>
            <w:bottom w:val="none" w:sz="0" w:space="0" w:color="auto"/>
            <w:right w:val="none" w:sz="0" w:space="0" w:color="auto"/>
          </w:divBdr>
        </w:div>
      </w:divsChild>
    </w:div>
    <w:div w:id="1086346874">
      <w:bodyDiv w:val="1"/>
      <w:marLeft w:val="0"/>
      <w:marRight w:val="0"/>
      <w:marTop w:val="0"/>
      <w:marBottom w:val="0"/>
      <w:divBdr>
        <w:top w:val="none" w:sz="0" w:space="0" w:color="auto"/>
        <w:left w:val="none" w:sz="0" w:space="0" w:color="auto"/>
        <w:bottom w:val="none" w:sz="0" w:space="0" w:color="auto"/>
        <w:right w:val="none" w:sz="0" w:space="0" w:color="auto"/>
      </w:divBdr>
      <w:divsChild>
        <w:div w:id="1469543389">
          <w:marLeft w:val="0"/>
          <w:marRight w:val="0"/>
          <w:marTop w:val="0"/>
          <w:marBottom w:val="0"/>
          <w:divBdr>
            <w:top w:val="none" w:sz="0" w:space="0" w:color="auto"/>
            <w:left w:val="none" w:sz="0" w:space="0" w:color="auto"/>
            <w:bottom w:val="none" w:sz="0" w:space="0" w:color="auto"/>
            <w:right w:val="none" w:sz="0" w:space="0" w:color="auto"/>
          </w:divBdr>
        </w:div>
        <w:div w:id="17388134">
          <w:marLeft w:val="0"/>
          <w:marRight w:val="0"/>
          <w:marTop w:val="0"/>
          <w:marBottom w:val="0"/>
          <w:divBdr>
            <w:top w:val="none" w:sz="0" w:space="0" w:color="auto"/>
            <w:left w:val="none" w:sz="0" w:space="0" w:color="auto"/>
            <w:bottom w:val="none" w:sz="0" w:space="0" w:color="auto"/>
            <w:right w:val="none" w:sz="0" w:space="0" w:color="auto"/>
          </w:divBdr>
        </w:div>
      </w:divsChild>
    </w:div>
    <w:div w:id="1134447124">
      <w:bodyDiv w:val="1"/>
      <w:marLeft w:val="0"/>
      <w:marRight w:val="0"/>
      <w:marTop w:val="0"/>
      <w:marBottom w:val="0"/>
      <w:divBdr>
        <w:top w:val="none" w:sz="0" w:space="0" w:color="auto"/>
        <w:left w:val="none" w:sz="0" w:space="0" w:color="auto"/>
        <w:bottom w:val="none" w:sz="0" w:space="0" w:color="auto"/>
        <w:right w:val="none" w:sz="0" w:space="0" w:color="auto"/>
      </w:divBdr>
      <w:divsChild>
        <w:div w:id="1690839593">
          <w:marLeft w:val="0"/>
          <w:marRight w:val="0"/>
          <w:marTop w:val="0"/>
          <w:marBottom w:val="240"/>
          <w:divBdr>
            <w:top w:val="none" w:sz="0" w:space="0" w:color="auto"/>
            <w:left w:val="none" w:sz="0" w:space="0" w:color="auto"/>
            <w:bottom w:val="none" w:sz="0" w:space="0" w:color="auto"/>
            <w:right w:val="none" w:sz="0" w:space="0" w:color="auto"/>
          </w:divBdr>
        </w:div>
        <w:div w:id="1962762275">
          <w:marLeft w:val="0"/>
          <w:marRight w:val="0"/>
          <w:marTop w:val="0"/>
          <w:marBottom w:val="240"/>
          <w:divBdr>
            <w:top w:val="none" w:sz="0" w:space="0" w:color="auto"/>
            <w:left w:val="none" w:sz="0" w:space="0" w:color="auto"/>
            <w:bottom w:val="none" w:sz="0" w:space="0" w:color="auto"/>
            <w:right w:val="none" w:sz="0" w:space="0" w:color="auto"/>
          </w:divBdr>
        </w:div>
      </w:divsChild>
    </w:div>
    <w:div w:id="1248492060">
      <w:bodyDiv w:val="1"/>
      <w:marLeft w:val="0"/>
      <w:marRight w:val="0"/>
      <w:marTop w:val="0"/>
      <w:marBottom w:val="0"/>
      <w:divBdr>
        <w:top w:val="none" w:sz="0" w:space="0" w:color="auto"/>
        <w:left w:val="none" w:sz="0" w:space="0" w:color="auto"/>
        <w:bottom w:val="none" w:sz="0" w:space="0" w:color="auto"/>
        <w:right w:val="none" w:sz="0" w:space="0" w:color="auto"/>
      </w:divBdr>
      <w:divsChild>
        <w:div w:id="283391244">
          <w:marLeft w:val="0"/>
          <w:marRight w:val="0"/>
          <w:marTop w:val="0"/>
          <w:marBottom w:val="240"/>
          <w:divBdr>
            <w:top w:val="none" w:sz="0" w:space="0" w:color="auto"/>
            <w:left w:val="none" w:sz="0" w:space="0" w:color="auto"/>
            <w:bottom w:val="none" w:sz="0" w:space="0" w:color="auto"/>
            <w:right w:val="none" w:sz="0" w:space="0" w:color="auto"/>
          </w:divBdr>
        </w:div>
        <w:div w:id="601305640">
          <w:marLeft w:val="0"/>
          <w:marRight w:val="0"/>
          <w:marTop w:val="0"/>
          <w:marBottom w:val="0"/>
          <w:divBdr>
            <w:top w:val="none" w:sz="0" w:space="0" w:color="auto"/>
            <w:left w:val="none" w:sz="0" w:space="0" w:color="auto"/>
            <w:bottom w:val="none" w:sz="0" w:space="0" w:color="auto"/>
            <w:right w:val="none" w:sz="0" w:space="0" w:color="auto"/>
          </w:divBdr>
        </w:div>
        <w:div w:id="826940280">
          <w:marLeft w:val="0"/>
          <w:marRight w:val="0"/>
          <w:marTop w:val="0"/>
          <w:marBottom w:val="0"/>
          <w:divBdr>
            <w:top w:val="none" w:sz="0" w:space="0" w:color="auto"/>
            <w:left w:val="none" w:sz="0" w:space="0" w:color="auto"/>
            <w:bottom w:val="none" w:sz="0" w:space="0" w:color="auto"/>
            <w:right w:val="none" w:sz="0" w:space="0" w:color="auto"/>
          </w:divBdr>
        </w:div>
      </w:divsChild>
    </w:div>
    <w:div w:id="1318919576">
      <w:bodyDiv w:val="1"/>
      <w:marLeft w:val="0"/>
      <w:marRight w:val="0"/>
      <w:marTop w:val="0"/>
      <w:marBottom w:val="0"/>
      <w:divBdr>
        <w:top w:val="none" w:sz="0" w:space="0" w:color="auto"/>
        <w:left w:val="none" w:sz="0" w:space="0" w:color="auto"/>
        <w:bottom w:val="none" w:sz="0" w:space="0" w:color="auto"/>
        <w:right w:val="none" w:sz="0" w:space="0" w:color="auto"/>
      </w:divBdr>
      <w:divsChild>
        <w:div w:id="721447924">
          <w:marLeft w:val="0"/>
          <w:marRight w:val="0"/>
          <w:marTop w:val="0"/>
          <w:marBottom w:val="240"/>
          <w:divBdr>
            <w:top w:val="none" w:sz="0" w:space="0" w:color="auto"/>
            <w:left w:val="none" w:sz="0" w:space="0" w:color="auto"/>
            <w:bottom w:val="none" w:sz="0" w:space="0" w:color="auto"/>
            <w:right w:val="none" w:sz="0" w:space="0" w:color="auto"/>
          </w:divBdr>
        </w:div>
        <w:div w:id="173764593">
          <w:marLeft w:val="0"/>
          <w:marRight w:val="0"/>
          <w:marTop w:val="0"/>
          <w:marBottom w:val="240"/>
          <w:divBdr>
            <w:top w:val="none" w:sz="0" w:space="0" w:color="auto"/>
            <w:left w:val="none" w:sz="0" w:space="0" w:color="auto"/>
            <w:bottom w:val="none" w:sz="0" w:space="0" w:color="auto"/>
            <w:right w:val="none" w:sz="0" w:space="0" w:color="auto"/>
          </w:divBdr>
        </w:div>
        <w:div w:id="732892897">
          <w:marLeft w:val="0"/>
          <w:marRight w:val="0"/>
          <w:marTop w:val="0"/>
          <w:marBottom w:val="240"/>
          <w:divBdr>
            <w:top w:val="none" w:sz="0" w:space="0" w:color="auto"/>
            <w:left w:val="none" w:sz="0" w:space="0" w:color="auto"/>
            <w:bottom w:val="none" w:sz="0" w:space="0" w:color="auto"/>
            <w:right w:val="none" w:sz="0" w:space="0" w:color="auto"/>
          </w:divBdr>
        </w:div>
        <w:div w:id="1380126788">
          <w:marLeft w:val="0"/>
          <w:marRight w:val="0"/>
          <w:marTop w:val="0"/>
          <w:marBottom w:val="240"/>
          <w:divBdr>
            <w:top w:val="none" w:sz="0" w:space="0" w:color="auto"/>
            <w:left w:val="none" w:sz="0" w:space="0" w:color="auto"/>
            <w:bottom w:val="none" w:sz="0" w:space="0" w:color="auto"/>
            <w:right w:val="none" w:sz="0" w:space="0" w:color="auto"/>
          </w:divBdr>
        </w:div>
        <w:div w:id="513110603">
          <w:marLeft w:val="0"/>
          <w:marRight w:val="0"/>
          <w:marTop w:val="0"/>
          <w:marBottom w:val="240"/>
          <w:divBdr>
            <w:top w:val="none" w:sz="0" w:space="0" w:color="auto"/>
            <w:left w:val="none" w:sz="0" w:space="0" w:color="auto"/>
            <w:bottom w:val="none" w:sz="0" w:space="0" w:color="auto"/>
            <w:right w:val="none" w:sz="0" w:space="0" w:color="auto"/>
          </w:divBdr>
        </w:div>
        <w:div w:id="1470972387">
          <w:marLeft w:val="0"/>
          <w:marRight w:val="0"/>
          <w:marTop w:val="0"/>
          <w:marBottom w:val="240"/>
          <w:divBdr>
            <w:top w:val="none" w:sz="0" w:space="0" w:color="auto"/>
            <w:left w:val="none" w:sz="0" w:space="0" w:color="auto"/>
            <w:bottom w:val="none" w:sz="0" w:space="0" w:color="auto"/>
            <w:right w:val="none" w:sz="0" w:space="0" w:color="auto"/>
          </w:divBdr>
        </w:div>
      </w:divsChild>
    </w:div>
    <w:div w:id="1475296745">
      <w:bodyDiv w:val="1"/>
      <w:marLeft w:val="0"/>
      <w:marRight w:val="0"/>
      <w:marTop w:val="0"/>
      <w:marBottom w:val="0"/>
      <w:divBdr>
        <w:top w:val="none" w:sz="0" w:space="0" w:color="auto"/>
        <w:left w:val="none" w:sz="0" w:space="0" w:color="auto"/>
        <w:bottom w:val="none" w:sz="0" w:space="0" w:color="auto"/>
        <w:right w:val="none" w:sz="0" w:space="0" w:color="auto"/>
      </w:divBdr>
    </w:div>
    <w:div w:id="1701320612">
      <w:bodyDiv w:val="1"/>
      <w:marLeft w:val="0"/>
      <w:marRight w:val="0"/>
      <w:marTop w:val="0"/>
      <w:marBottom w:val="0"/>
      <w:divBdr>
        <w:top w:val="none" w:sz="0" w:space="0" w:color="auto"/>
        <w:left w:val="none" w:sz="0" w:space="0" w:color="auto"/>
        <w:bottom w:val="none" w:sz="0" w:space="0" w:color="auto"/>
        <w:right w:val="none" w:sz="0" w:space="0" w:color="auto"/>
      </w:divBdr>
      <w:divsChild>
        <w:div w:id="2095011827">
          <w:marLeft w:val="0"/>
          <w:marRight w:val="0"/>
          <w:marTop w:val="0"/>
          <w:marBottom w:val="0"/>
          <w:divBdr>
            <w:top w:val="none" w:sz="0" w:space="0" w:color="auto"/>
            <w:left w:val="none" w:sz="0" w:space="0" w:color="auto"/>
            <w:bottom w:val="none" w:sz="0" w:space="0" w:color="auto"/>
            <w:right w:val="none" w:sz="0" w:space="0" w:color="auto"/>
          </w:divBdr>
        </w:div>
        <w:div w:id="472253229">
          <w:marLeft w:val="0"/>
          <w:marRight w:val="0"/>
          <w:marTop w:val="0"/>
          <w:marBottom w:val="0"/>
          <w:divBdr>
            <w:top w:val="none" w:sz="0" w:space="0" w:color="auto"/>
            <w:left w:val="none" w:sz="0" w:space="0" w:color="auto"/>
            <w:bottom w:val="none" w:sz="0" w:space="0" w:color="auto"/>
            <w:right w:val="none" w:sz="0" w:space="0" w:color="auto"/>
          </w:divBdr>
        </w:div>
      </w:divsChild>
    </w:div>
    <w:div w:id="1708143294">
      <w:bodyDiv w:val="1"/>
      <w:marLeft w:val="0"/>
      <w:marRight w:val="0"/>
      <w:marTop w:val="0"/>
      <w:marBottom w:val="0"/>
      <w:divBdr>
        <w:top w:val="none" w:sz="0" w:space="0" w:color="auto"/>
        <w:left w:val="none" w:sz="0" w:space="0" w:color="auto"/>
        <w:bottom w:val="none" w:sz="0" w:space="0" w:color="auto"/>
        <w:right w:val="none" w:sz="0" w:space="0" w:color="auto"/>
      </w:divBdr>
      <w:divsChild>
        <w:div w:id="2114739004">
          <w:marLeft w:val="0"/>
          <w:marRight w:val="0"/>
          <w:marTop w:val="0"/>
          <w:marBottom w:val="240"/>
          <w:divBdr>
            <w:top w:val="none" w:sz="0" w:space="0" w:color="auto"/>
            <w:left w:val="none" w:sz="0" w:space="0" w:color="auto"/>
            <w:bottom w:val="none" w:sz="0" w:space="0" w:color="auto"/>
            <w:right w:val="none" w:sz="0" w:space="0" w:color="auto"/>
          </w:divBdr>
        </w:div>
        <w:div w:id="1024936405">
          <w:marLeft w:val="0"/>
          <w:marRight w:val="0"/>
          <w:marTop w:val="0"/>
          <w:marBottom w:val="240"/>
          <w:divBdr>
            <w:top w:val="none" w:sz="0" w:space="0" w:color="auto"/>
            <w:left w:val="none" w:sz="0" w:space="0" w:color="auto"/>
            <w:bottom w:val="none" w:sz="0" w:space="0" w:color="auto"/>
            <w:right w:val="none" w:sz="0" w:space="0" w:color="auto"/>
          </w:divBdr>
        </w:div>
        <w:div w:id="935988979">
          <w:marLeft w:val="0"/>
          <w:marRight w:val="0"/>
          <w:marTop w:val="0"/>
          <w:marBottom w:val="0"/>
          <w:divBdr>
            <w:top w:val="none" w:sz="0" w:space="0" w:color="auto"/>
            <w:left w:val="none" w:sz="0" w:space="0" w:color="auto"/>
            <w:bottom w:val="none" w:sz="0" w:space="0" w:color="auto"/>
            <w:right w:val="none" w:sz="0" w:space="0" w:color="auto"/>
          </w:divBdr>
        </w:div>
        <w:div w:id="439684146">
          <w:marLeft w:val="0"/>
          <w:marRight w:val="0"/>
          <w:marTop w:val="0"/>
          <w:marBottom w:val="0"/>
          <w:divBdr>
            <w:top w:val="none" w:sz="0" w:space="0" w:color="auto"/>
            <w:left w:val="none" w:sz="0" w:space="0" w:color="auto"/>
            <w:bottom w:val="none" w:sz="0" w:space="0" w:color="auto"/>
            <w:right w:val="none" w:sz="0" w:space="0" w:color="auto"/>
          </w:divBdr>
        </w:div>
      </w:divsChild>
    </w:div>
    <w:div w:id="1772236622">
      <w:bodyDiv w:val="1"/>
      <w:marLeft w:val="0"/>
      <w:marRight w:val="0"/>
      <w:marTop w:val="0"/>
      <w:marBottom w:val="0"/>
      <w:divBdr>
        <w:top w:val="none" w:sz="0" w:space="0" w:color="auto"/>
        <w:left w:val="none" w:sz="0" w:space="0" w:color="auto"/>
        <w:bottom w:val="none" w:sz="0" w:space="0" w:color="auto"/>
        <w:right w:val="none" w:sz="0" w:space="0" w:color="auto"/>
      </w:divBdr>
      <w:divsChild>
        <w:div w:id="1888450532">
          <w:marLeft w:val="0"/>
          <w:marRight w:val="0"/>
          <w:marTop w:val="0"/>
          <w:marBottom w:val="240"/>
          <w:divBdr>
            <w:top w:val="none" w:sz="0" w:space="0" w:color="auto"/>
            <w:left w:val="none" w:sz="0" w:space="0" w:color="auto"/>
            <w:bottom w:val="none" w:sz="0" w:space="0" w:color="auto"/>
            <w:right w:val="none" w:sz="0" w:space="0" w:color="auto"/>
          </w:divBdr>
        </w:div>
      </w:divsChild>
    </w:div>
    <w:div w:id="1805344363">
      <w:bodyDiv w:val="1"/>
      <w:marLeft w:val="0"/>
      <w:marRight w:val="0"/>
      <w:marTop w:val="0"/>
      <w:marBottom w:val="0"/>
      <w:divBdr>
        <w:top w:val="none" w:sz="0" w:space="0" w:color="auto"/>
        <w:left w:val="none" w:sz="0" w:space="0" w:color="auto"/>
        <w:bottom w:val="none" w:sz="0" w:space="0" w:color="auto"/>
        <w:right w:val="none" w:sz="0" w:space="0" w:color="auto"/>
      </w:divBdr>
      <w:divsChild>
        <w:div w:id="2060130468">
          <w:marLeft w:val="0"/>
          <w:marRight w:val="0"/>
          <w:marTop w:val="0"/>
          <w:marBottom w:val="0"/>
          <w:divBdr>
            <w:top w:val="none" w:sz="0" w:space="0" w:color="auto"/>
            <w:left w:val="none" w:sz="0" w:space="0" w:color="auto"/>
            <w:bottom w:val="none" w:sz="0" w:space="0" w:color="auto"/>
            <w:right w:val="none" w:sz="0" w:space="0" w:color="auto"/>
          </w:divBdr>
        </w:div>
      </w:divsChild>
    </w:div>
    <w:div w:id="1818255462">
      <w:bodyDiv w:val="1"/>
      <w:marLeft w:val="0"/>
      <w:marRight w:val="0"/>
      <w:marTop w:val="0"/>
      <w:marBottom w:val="0"/>
      <w:divBdr>
        <w:top w:val="none" w:sz="0" w:space="0" w:color="auto"/>
        <w:left w:val="none" w:sz="0" w:space="0" w:color="auto"/>
        <w:bottom w:val="none" w:sz="0" w:space="0" w:color="auto"/>
        <w:right w:val="none" w:sz="0" w:space="0" w:color="auto"/>
      </w:divBdr>
      <w:divsChild>
        <w:div w:id="1042554991">
          <w:marLeft w:val="0"/>
          <w:marRight w:val="0"/>
          <w:marTop w:val="0"/>
          <w:marBottom w:val="240"/>
          <w:divBdr>
            <w:top w:val="none" w:sz="0" w:space="0" w:color="auto"/>
            <w:left w:val="none" w:sz="0" w:space="0" w:color="auto"/>
            <w:bottom w:val="none" w:sz="0" w:space="0" w:color="auto"/>
            <w:right w:val="none" w:sz="0" w:space="0" w:color="auto"/>
          </w:divBdr>
        </w:div>
        <w:div w:id="644354176">
          <w:marLeft w:val="0"/>
          <w:marRight w:val="0"/>
          <w:marTop w:val="0"/>
          <w:marBottom w:val="0"/>
          <w:divBdr>
            <w:top w:val="none" w:sz="0" w:space="0" w:color="auto"/>
            <w:left w:val="none" w:sz="0" w:space="0" w:color="auto"/>
            <w:bottom w:val="none" w:sz="0" w:space="0" w:color="auto"/>
            <w:right w:val="none" w:sz="0" w:space="0" w:color="auto"/>
          </w:divBdr>
        </w:div>
        <w:div w:id="259338012">
          <w:marLeft w:val="0"/>
          <w:marRight w:val="0"/>
          <w:marTop w:val="0"/>
          <w:marBottom w:val="0"/>
          <w:divBdr>
            <w:top w:val="none" w:sz="0" w:space="0" w:color="auto"/>
            <w:left w:val="none" w:sz="0" w:space="0" w:color="auto"/>
            <w:bottom w:val="none" w:sz="0" w:space="0" w:color="auto"/>
            <w:right w:val="none" w:sz="0" w:space="0" w:color="auto"/>
          </w:divBdr>
        </w:div>
        <w:div w:id="1842772801">
          <w:marLeft w:val="0"/>
          <w:marRight w:val="0"/>
          <w:marTop w:val="0"/>
          <w:marBottom w:val="0"/>
          <w:divBdr>
            <w:top w:val="none" w:sz="0" w:space="0" w:color="auto"/>
            <w:left w:val="none" w:sz="0" w:space="0" w:color="auto"/>
            <w:bottom w:val="none" w:sz="0" w:space="0" w:color="auto"/>
            <w:right w:val="none" w:sz="0" w:space="0" w:color="auto"/>
          </w:divBdr>
        </w:div>
        <w:div w:id="604045371">
          <w:marLeft w:val="0"/>
          <w:marRight w:val="0"/>
          <w:marTop w:val="0"/>
          <w:marBottom w:val="0"/>
          <w:divBdr>
            <w:top w:val="none" w:sz="0" w:space="0" w:color="auto"/>
            <w:left w:val="none" w:sz="0" w:space="0" w:color="auto"/>
            <w:bottom w:val="none" w:sz="0" w:space="0" w:color="auto"/>
            <w:right w:val="none" w:sz="0" w:space="0" w:color="auto"/>
          </w:divBdr>
        </w:div>
      </w:divsChild>
    </w:div>
    <w:div w:id="1929001617">
      <w:bodyDiv w:val="1"/>
      <w:marLeft w:val="0"/>
      <w:marRight w:val="0"/>
      <w:marTop w:val="0"/>
      <w:marBottom w:val="0"/>
      <w:divBdr>
        <w:top w:val="none" w:sz="0" w:space="0" w:color="auto"/>
        <w:left w:val="none" w:sz="0" w:space="0" w:color="auto"/>
        <w:bottom w:val="none" w:sz="0" w:space="0" w:color="auto"/>
        <w:right w:val="none" w:sz="0" w:space="0" w:color="auto"/>
      </w:divBdr>
      <w:divsChild>
        <w:div w:id="1163276303">
          <w:marLeft w:val="0"/>
          <w:marRight w:val="0"/>
          <w:marTop w:val="0"/>
          <w:marBottom w:val="240"/>
          <w:divBdr>
            <w:top w:val="none" w:sz="0" w:space="0" w:color="auto"/>
            <w:left w:val="none" w:sz="0" w:space="0" w:color="auto"/>
            <w:bottom w:val="none" w:sz="0" w:space="0" w:color="auto"/>
            <w:right w:val="none" w:sz="0" w:space="0" w:color="auto"/>
          </w:divBdr>
        </w:div>
        <w:div w:id="121669759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74C6A-EFB0-4E3E-90FD-8C6CE5FD8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TotalTime>
  <Pages>15</Pages>
  <Words>5182</Words>
  <Characters>29541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dc:creator>
  <cp:keywords/>
  <dc:description/>
  <cp:lastModifiedBy>Shashank</cp:lastModifiedBy>
  <cp:revision>130</cp:revision>
  <dcterms:created xsi:type="dcterms:W3CDTF">2026-07-22T18:01:00Z</dcterms:created>
  <dcterms:modified xsi:type="dcterms:W3CDTF">2026-07-25T18:21:00Z</dcterms:modified>
</cp:coreProperties>
</file>