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Finance Handbook for Employees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HB-FINANCE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2026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All offices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Owner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Finance Team</w:t>
            </w:r>
          </w:p>
        </w:tc>
      </w:tr>
      <w:tr>
        <w:tc>
          <w:tcPr>
            <w:tcW w:type="dxa" w:w="2600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426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Internal</w:t>
            </w:r>
          </w:p>
        </w:tc>
      </w:tr>
    </w:tbl>
    <w:p/>
    <w:p>
      <w:pPr>
        <w:spacing w:after="120"/>
      </w:pPr>
      <w:r>
        <w:t xml:space="preserve">This handbook explains everyday finance processes for employees: corporate cards, purchase requests and expense claims.</w:t>
      </w:r>
    </w:p>
    <w:p>
      <w:pPr>
        <w:pStyle w:val="Heading1"/>
      </w:pPr>
      <w:r>
        <w:t xml:space="preserve">1. Corporate cards</w:t>
      </w:r>
    </w:p>
    <w:p>
      <w:pPr>
        <w:spacing w:after="120"/>
      </w:pPr>
      <w:r>
        <w:t xml:space="preserve">Employees who travel regularly may apply for a corporate card with their manager's approval. The monthly limit is the equivalent of 3,000 US dollars. Card transactions must be reconciled in the expense system every month.</w:t>
      </w:r>
    </w:p>
    <w:p>
      <w:pPr>
        <w:pStyle w:val="Heading1"/>
      </w:pPr>
      <w:r>
        <w:t xml:space="preserve">2. Purchase requests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3E9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Amount (US dollar equivalent)</w:t>
            </w:r>
          </w:p>
        </w:tc>
        <w:tc>
          <w:tcPr>
            <w:tcW w:type="dxa" w:w="4513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shd w:fill="E3E9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Who approves</w:t>
            </w:r>
          </w:p>
        </w:tc>
      </w:tr>
      <w:tr>
        <w:tc>
          <w:tcPr>
            <w:tcW w:type="dxa" w:w="4513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Up to 1,000</w:t>
            </w:r>
          </w:p>
        </w:tc>
        <w:tc>
          <w:tcPr>
            <w:tcW w:type="dxa" w:w="4513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Line manager</w:t>
            </w:r>
          </w:p>
        </w:tc>
      </w:tr>
      <w:tr>
        <w:tc>
          <w:tcPr>
            <w:tcW w:type="dxa" w:w="4513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1,001 to 10,000</w:t>
            </w:r>
          </w:p>
        </w:tc>
        <w:tc>
          <w:tcPr>
            <w:tcW w:type="dxa" w:w="4513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 head</w:t>
            </w:r>
          </w:p>
        </w:tc>
      </w:tr>
      <w:tr>
        <w:tc>
          <w:tcPr>
            <w:tcW w:type="dxa" w:w="4513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Above 10,000</w:t>
            </w:r>
          </w:p>
        </w:tc>
        <w:tc>
          <w:tcPr>
            <w:tcW w:type="dxa" w:w="4513"/>
            <w:tcBorders>
              <w:top w:val="single" w:color="9AA7B8" w:sz="4"/>
              <w:left w:val="single" w:color="9AA7B8" w:sz="4"/>
              <w:bottom w:val="single" w:color="9AA7B8" w:sz="4"/>
              <w:right w:val="single" w:color="9AA7B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Department head and Finance Director</w:t>
            </w:r>
          </w:p>
        </w:tc>
      </w:tr>
    </w:tbl>
    <w:p/>
    <w:p>
      <w:pPr>
        <w:pStyle w:val="Heading1"/>
      </w:pPr>
      <w:r>
        <w:t xml:space="preserve">3. Expense claims</w:t>
      </w:r>
    </w:p>
    <w:p>
      <w:pPr>
        <w:spacing w:after="120"/>
      </w:pPr>
      <w:r>
        <w:t xml:space="preserve">Expense claims must be submitted within 45 days of the expense being incurred. Claims submitted after this deadline need approval from the Finance Director. Attach a clear image of each receipt.</w:t>
      </w:r>
    </w:p>
    <w:p>
      <w:pPr>
        <w:pStyle w:val="Heading1"/>
      </w:pPr>
      <w:r>
        <w:t xml:space="preserve">4. Reimbursement</w:t>
      </w:r>
    </w:p>
    <w:p>
      <w:pPr>
        <w:spacing w:after="120"/>
      </w:pPr>
      <w:r>
        <w:t xml:space="preserve">Approved expenses are reimbursed with the next monthly payroll run, provided they are approved by the 20th day of the month.</w:t>
      </w:r>
    </w:p>
    <w:p>
      <w:pPr>
        <w:pStyle w:val="Heading1"/>
      </w:pPr>
      <w:r>
        <w:t xml:space="preserve">5. Contact</w:t>
      </w:r>
    </w:p>
    <w:p>
      <w:pPr>
        <w:spacing w:after="120"/>
      </w:pPr>
      <w:r>
        <w:t xml:space="preserve">Questions about finance processes can be sent to finance@veltrix.example.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B6675"/>
        <w:sz w:val="15"/>
        <w:szCs w:val="15"/>
      </w:rPr>
      <w:t xml:space="preserve">Veltrix Systems  |  HB-FINANCE  |  Internal  |  Page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Finance Handbook for Employees</dc:title>
  <dc:creator>Veltrix Systems</dc:creator>
  <cp:lastModifiedBy>Un-named</cp:lastModifiedBy>
  <cp:revision>1</cp:revision>
  <dcterms:created xsi:type="dcterms:W3CDTF">2026-10-07T18:13:13.668Z</dcterms:created>
  <dcterms:modified xsi:type="dcterms:W3CDTF">2026-10-07T18:13:13.669Z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