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Leave Policy Addendum: India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b w:val="false"/>
                <w:bCs w:val="false"/>
                <w:sz w:val="19"/>
                <w:szCs w:val="19"/>
              </w:rPr>
              <w:t xml:space="preserve">Document ID</w:t>
            </w:r>
          </w:p>
        </w:tc>
        <w:tc>
          <w:tcPr>
            <w:tcW w:type="dxa" w:w="6426"/>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b w:val="false"/>
                <w:bCs w:val="false"/>
                <w:sz w:val="19"/>
                <w:szCs w:val="19"/>
              </w:rPr>
              <w:t xml:space="preserve">ADD-LEAVE-IN</w:t>
            </w:r>
          </w:p>
        </w:tc>
      </w:tr>
      <w:tr>
        <w:tc>
          <w:tcPr>
            <w:tcW w:type="dxa" w:w="26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b w:val="false"/>
                <w:bCs w:val="false"/>
                <w:sz w:val="19"/>
                <w:szCs w:val="19"/>
              </w:rPr>
              <w:t xml:space="preserve">Version</w:t>
            </w:r>
          </w:p>
        </w:tc>
        <w:tc>
          <w:tcPr>
            <w:tcW w:type="dxa" w:w="6426"/>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b w:val="false"/>
                <w:bCs w:val="false"/>
                <w:sz w:val="19"/>
                <w:szCs w:val="19"/>
              </w:rPr>
              <w:t xml:space="preserve">1.0</w:t>
            </w:r>
          </w:p>
        </w:tc>
      </w:tr>
      <w:tr>
        <w:tc>
          <w:tcPr>
            <w:tcW w:type="dxa" w:w="26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b w:val="false"/>
                <w:bCs w:val="false"/>
                <w:sz w:val="19"/>
                <w:szCs w:val="19"/>
              </w:rPr>
              <w:t xml:space="preserve">Effective date</w:t>
            </w:r>
          </w:p>
        </w:tc>
        <w:tc>
          <w:tcPr>
            <w:tcW w:type="dxa" w:w="6426"/>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b w:val="false"/>
                <w:bCs w:val="false"/>
                <w:sz w:val="19"/>
                <w:szCs w:val="19"/>
              </w:rPr>
              <w:t xml:space="preserve">1 January 2025</w:t>
            </w:r>
          </w:p>
        </w:tc>
      </w:tr>
      <w:tr>
        <w:tc>
          <w:tcPr>
            <w:tcW w:type="dxa" w:w="26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b w:val="false"/>
                <w:bCs w:val="false"/>
                <w:sz w:val="19"/>
                <w:szCs w:val="19"/>
              </w:rPr>
              <w:t xml:space="preserve">Applies to</w:t>
            </w:r>
          </w:p>
        </w:tc>
        <w:tc>
          <w:tcPr>
            <w:tcW w:type="dxa" w:w="6426"/>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b w:val="false"/>
                <w:bCs w:val="false"/>
                <w:sz w:val="19"/>
                <w:szCs w:val="19"/>
              </w:rPr>
              <w:t xml:space="preserve">Bengaluru, India</w:t>
            </w:r>
          </w:p>
        </w:tc>
      </w:tr>
      <w:tr>
        <w:tc>
          <w:tcPr>
            <w:tcW w:type="dxa" w:w="26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b w:val="false"/>
                <w:bCs w:val="false"/>
                <w:sz w:val="19"/>
                <w:szCs w:val="19"/>
              </w:rPr>
              <w:t xml:space="preserve">Owner</w:t>
            </w:r>
          </w:p>
        </w:tc>
        <w:tc>
          <w:tcPr>
            <w:tcW w:type="dxa" w:w="6426"/>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b w:val="false"/>
                <w:bCs w:val="false"/>
                <w:sz w:val="19"/>
                <w:szCs w:val="19"/>
              </w:rPr>
              <w:t xml:space="preserve">People Team, India</w:t>
            </w:r>
          </w:p>
        </w:tc>
      </w:tr>
      <w:tr>
        <w:tc>
          <w:tcPr>
            <w:tcW w:type="dxa" w:w="2600"/>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b w:val="false"/>
                <w:bCs w:val="false"/>
                <w:sz w:val="19"/>
                <w:szCs w:val="19"/>
              </w:rPr>
              <w:t xml:space="preserve">Classification</w:t>
            </w:r>
          </w:p>
        </w:tc>
        <w:tc>
          <w:tcPr>
            <w:tcW w:type="dxa" w:w="6426"/>
            <w:tcBorders>
              <w:top w:val="single" w:color="9AA7B8" w:sz="4"/>
              <w:left w:val="single" w:color="9AA7B8" w:sz="4"/>
              <w:bottom w:val="single" w:color="9AA7B8" w:sz="4"/>
              <w:right w:val="single" w:color="9AA7B8" w:sz="4"/>
            </w:tcBorders>
            <w:tcMar>
              <w:top w:type="dxa" w:w="60"/>
              <w:left w:type="dxa" w:w="100"/>
              <w:bottom w:type="dxa" w:w="60"/>
              <w:right w:type="dxa" w:w="100"/>
            </w:tcMar>
          </w:tcPr>
          <w:p>
            <w:r>
              <w:rPr>
                <w:b w:val="false"/>
                <w:bCs w:val="false"/>
                <w:sz w:val="19"/>
                <w:szCs w:val="19"/>
              </w:rPr>
              <w:t xml:space="preserve">Internal</w:t>
            </w:r>
          </w:p>
        </w:tc>
      </w:tr>
    </w:tbl>
    <w:p/>
    <w:p>
      <w:pPr>
        <w:spacing w:after="120"/>
      </w:pPr>
      <w:r>
        <w:t xml:space="preserve">This addendum applies to employees employed by Veltrix Systems India Private Limited and based in the Bengaluru office. It sets out the rules that differ from the Global Leave Policy. Where this addendum is silent, the Global Leave Policy applies.</w:t>
      </w:r>
    </w:p>
    <w:p>
      <w:pPr>
        <w:pStyle w:val="Heading1"/>
      </w:pPr>
      <w:r>
        <w:t xml:space="preserve">1. Carrying annual leave forward</w:t>
      </w:r>
    </w:p>
    <w:p>
      <w:pPr>
        <w:spacing w:after="120"/>
      </w:pPr>
      <w:r>
        <w:t xml:space="preserve">Employees in India may carry forward up to 15 days of unused annual leave into the next leave year. Carried forward days in India do not expire on a fixed date. However, the total annual leave balance of an employee in India may not exceed 45 days at any time; leave that would take the balance above 45 days is not credited.</w:t>
      </w:r>
    </w:p>
    <w:p>
      <w:pPr>
        <w:pStyle w:val="Heading1"/>
      </w:pPr>
      <w:r>
        <w:t xml:space="preserve">2. Maternity and parental leave</w:t>
      </w:r>
    </w:p>
    <w:p>
      <w:pPr>
        <w:spacing w:after="120"/>
      </w:pPr>
      <w:r>
        <w:t xml:space="preserve">In line with the Maternity Benefit Act, 1961, a birth mother may take up to 26 weeks of paid maternity leave, of which up to 8 weeks may be taken before the expected date of delivery. An adoptive mother or commissioning mother may take up to 12 weeks of paid leave from the date the child is handed over.</w:t>
      </w:r>
    </w:p>
    <w:p>
      <w:pPr>
        <w:spacing w:after="120"/>
      </w:pPr>
      <w:r>
        <w:t xml:space="preserve">Other parental leave entitlements, including leave for secondary caregivers, follow the Global Leave Policy.</w:t>
      </w:r>
    </w:p>
    <w:p>
      <w:pPr>
        <w:pStyle w:val="Heading1"/>
      </w:pPr>
      <w:r>
        <w:t xml:space="preserve">3. Restricted holidays</w:t>
      </w:r>
    </w:p>
    <w:p>
      <w:pPr>
        <w:spacing w:after="120"/>
      </w:pPr>
      <w:r>
        <w:t xml:space="preserve">In addition to public holidays, employees in India may choose 2 restricted (optional) holidays each year from the list in the India Holiday Calendar. Restricted holidays are not office closures. They are requested separately from annual leave, through the restricted holiday form in the HR system, and are not deducted from any leave balance.</w:t>
      </w:r>
    </w:p>
    <w:p>
      <w:pPr>
        <w:pStyle w:val="Heading1"/>
      </w:pPr>
      <w:r>
        <w:t xml:space="preserve">4. Leave encashment</w:t>
      </w:r>
    </w:p>
    <w:p>
      <w:pPr>
        <w:spacing w:after="120"/>
      </w:pPr>
      <w:r>
        <w:t xml:space="preserve">On leaving the company, employees in India are paid for up to 30 days of unused annual leave, calculated on basic salary.</w:t>
      </w:r>
    </w:p>
    <w:p>
      <w:pPr>
        <w:pStyle w:val="Heading1"/>
      </w:pPr>
      <w:r>
        <w:t xml:space="preserve">5. Statutory compliance</w:t>
      </w:r>
    </w:p>
    <w:p>
      <w:pPr>
        <w:spacing w:after="120"/>
      </w:pPr>
      <w:r>
        <w:t xml:space="preserve">This addendum is intended to comply with the Karnataka Shops and Commercial Establishments Act and other applicable laws. If any rule in this addendum gives less than the law requires, the law applies.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B6675"/>
        <w:sz w:val="15"/>
        <w:szCs w:val="15"/>
      </w:rPr>
      <w:t xml:space="preserve">Veltrix Systems  |  ADD-LEAVE-IN  |  Internal  |  Page </w:t>
    </w:r>
    <w:r>
      <w:rPr>
        <w:color w:val="5B667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Leave Policy Addendum: India</dc:title>
  <dc:creator>Veltrix Systems</dc:creator>
  <cp:lastModifiedBy>Un-named</cp:lastModifiedBy>
  <cp:revision>1</cp:revision>
  <dcterms:created xsi:type="dcterms:W3CDTF">2026-10-07T18:13:13.576Z</dcterms:created>
  <dcterms:modified xsi:type="dcterms:W3CDTF">2026-10-07T18:13:13.576Z</dcterms:modified>
</cp:coreProperties>
</file>

<file path=docProps/custom.xml><?xml version="1.0" encoding="utf-8"?>
<Properties xmlns="http://schemas.openxmlformats.org/officeDocument/2006/custom-properties" xmlns:vt="http://schemas.openxmlformats.org/officeDocument/2006/docPropsVTypes"/>
</file>