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Global Leave Policy (Version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Document ID</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POL-LEAVE-GLOBAL-V3</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Version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3.0</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Effective date</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 January 2027</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Applies to</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All offices</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Owner</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People Team</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Classification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Internal</w:t>
            </w:r>
          </w:p>
        </w:tc>
      </w:tr>
    </w:tbl>
    <w:p/>
    <w:p>
      <w:pPr>
        <w:spacing w:after="120"/>
      </w:pPr>
      <w:r>
        <w:t xml:space="preserve">This version replaces Version 2 of the Global Leave Policy from 1 January 2027. It was approved by the Executive Team in September 2026 and is published early so that employees can plan.</w:t>
      </w:r>
    </w:p>
    <w:p>
      <w:pPr>
        <w:pStyle w:val="Heading1"/>
      </w:pPr>
      <w:r>
        <w:t xml:space="preserve">1. What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9AA7B8" w:sz="4"/>
              <w:left w:val="single" w:color="9AA7B8" w:sz="4"/>
              <w:bottom w:val="single" w:color="9AA7B8" w:sz="4"/>
              <w:right w:val="single" w:color="9AA7B8" w:sz="4"/>
            </w:tcBorders>
            <w:shd w:fill="E3E9F2" w:color="auto" w:val="clear"/>
            <w:tcMar>
              <w:top w:type="dxa" w:w="60"/>
              <w:left w:type="dxa" w:w="100"/>
              <w:bottom w:type="dxa" w:w="60"/>
              <w:right w:type="dxa" w:w="100"/>
            </w:tcMar>
          </w:tcPr>
          <w:p>
            <w:r>
              <w:rPr>
                <w:b/>
                <w:bCs/>
                <w:sz w:val="19"/>
                <w:szCs w:val="19"/>
              </w:rPr>
              <w:t xml:space="preserve">Topic</w:t>
            </w:r>
          </w:p>
        </w:tc>
        <w:tc>
          <w:tcPr>
            <w:tcW w:type="dxa" w:w="3008"/>
            <w:tcBorders>
              <w:top w:val="single" w:color="9AA7B8" w:sz="4"/>
              <w:left w:val="single" w:color="9AA7B8" w:sz="4"/>
              <w:bottom w:val="single" w:color="9AA7B8" w:sz="4"/>
              <w:right w:val="single" w:color="9AA7B8" w:sz="4"/>
            </w:tcBorders>
            <w:shd w:fill="E3E9F2" w:color="auto" w:val="clear"/>
            <w:tcMar>
              <w:top w:type="dxa" w:w="60"/>
              <w:left w:type="dxa" w:w="100"/>
              <w:bottom w:type="dxa" w:w="60"/>
              <w:right w:type="dxa" w:w="100"/>
            </w:tcMar>
          </w:tcPr>
          <w:p>
            <w:r>
              <w:rPr>
                <w:b/>
                <w:bCs/>
                <w:sz w:val="19"/>
                <w:szCs w:val="19"/>
              </w:rPr>
              <w:t xml:space="preserve">Version 2</w:t>
            </w:r>
          </w:p>
        </w:tc>
        <w:tc>
          <w:tcPr>
            <w:tcW w:type="dxa" w:w="3010"/>
            <w:tcBorders>
              <w:top w:val="single" w:color="9AA7B8" w:sz="4"/>
              <w:left w:val="single" w:color="9AA7B8" w:sz="4"/>
              <w:bottom w:val="single" w:color="9AA7B8" w:sz="4"/>
              <w:right w:val="single" w:color="9AA7B8" w:sz="4"/>
            </w:tcBorders>
            <w:shd w:fill="E3E9F2" w:color="auto" w:val="clear"/>
            <w:tcMar>
              <w:top w:type="dxa" w:w="60"/>
              <w:left w:type="dxa" w:w="100"/>
              <w:bottom w:type="dxa" w:w="60"/>
              <w:right w:type="dxa" w:w="100"/>
            </w:tcMar>
          </w:tcPr>
          <w:p>
            <w:r>
              <w:rPr>
                <w:b/>
                <w:bCs/>
                <w:sz w:val="19"/>
                <w:szCs w:val="19"/>
              </w:rPr>
              <w:t xml:space="preserve">Version 3 (from 1 January 2027)</w:t>
            </w:r>
          </w:p>
        </w:tc>
      </w:tr>
      <w:tr>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Annual leave accrual, less than 2 years of service</w:t>
            </w:r>
          </w:p>
        </w:tc>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1.5 days per month</w:t>
            </w:r>
          </w:p>
        </w:tc>
        <w:tc>
          <w:tcPr>
            <w:tcW w:type="dxa" w:w="301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1.5 days per month (no change)</w:t>
            </w:r>
          </w:p>
        </w:tc>
      </w:tr>
      <w:tr>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Annual leave accrual, 2 to less than 5 years of service</w:t>
            </w:r>
          </w:p>
        </w:tc>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1.75 days per month</w:t>
            </w:r>
          </w:p>
        </w:tc>
        <w:tc>
          <w:tcPr>
            <w:tcW w:type="dxa" w:w="301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2.0 days per month</w:t>
            </w:r>
          </w:p>
        </w:tc>
      </w:tr>
      <w:tr>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Annual leave accrual, 5 or more years of service</w:t>
            </w:r>
          </w:p>
        </w:tc>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2.0 days per month</w:t>
            </w:r>
          </w:p>
        </w:tc>
        <w:tc>
          <w:tcPr>
            <w:tcW w:type="dxa" w:w="301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2.25 days per month</w:t>
            </w:r>
          </w:p>
        </w:tc>
      </w:tr>
      <w:tr>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Carry-forward limit</w:t>
            </w:r>
          </w:p>
        </w:tc>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10 days</w:t>
            </w:r>
          </w:p>
        </w:tc>
        <w:tc>
          <w:tcPr>
            <w:tcW w:type="dxa" w:w="301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12 days</w:t>
            </w:r>
          </w:p>
        </w:tc>
      </w:tr>
      <w:tr>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Wellbeing days</w:t>
            </w:r>
          </w:p>
        </w:tc>
        <w:tc>
          <w:tcPr>
            <w:tcW w:type="dxa" w:w="3008"/>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None</w:t>
            </w:r>
          </w:p>
        </w:tc>
        <w:tc>
          <w:tcPr>
            <w:tcW w:type="dxa" w:w="301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2 paid wellbeing days per year</w:t>
            </w:r>
          </w:p>
        </w:tc>
      </w:tr>
    </w:tbl>
    <w:p/>
    <w:p>
      <w:pPr>
        <w:spacing w:after="120"/>
      </w:pPr>
      <w:r>
        <w:t xml:space="preserve">From 1 January 2027 the accrual rates above replace those in the Annual Leave Accrual Schedule. All other rules in Version 2, including sick leave of 12 working days, parental leave and bereavement leave, continue unchanged.</w:t>
      </w:r>
    </w:p>
    <w:p>
      <w:pPr>
        <w:pStyle w:val="Heading1"/>
      </w:pPr>
      <w:r>
        <w:t xml:space="preserve">2. Wellbeing days</w:t>
      </w:r>
    </w:p>
    <w:p>
      <w:pPr>
        <w:spacing w:after="120"/>
      </w:pPr>
      <w:r>
        <w:t xml:space="preserve">From 2027 every employee receives 2 paid wellbeing days per leave year. Wellbeing days do not need a reason, cannot be carried forward, and should be requested in the HR system like annual leave.</w:t>
      </w:r>
    </w:p>
    <w:p>
      <w:pPr>
        <w:pStyle w:val="Heading1"/>
      </w:pPr>
      <w:r>
        <w:t xml:space="preserve">3. Carrying annual leave forward</w:t>
      </w:r>
    </w:p>
    <w:p>
      <w:pPr>
        <w:spacing w:after="120"/>
      </w:pPr>
      <w:r>
        <w:t xml:space="preserve">From the 2027 leave year, employees may carry forward up to 12 days of unused annual leave. Carried forward days must still be used by 31 March. Leave carried from 2026 into 2027 follows the limit in Version 2, because the carry-forward is calculated on 31 December 2026.</w:t>
      </w:r>
    </w:p>
    <w:p>
      <w:pPr>
        <w:pStyle w:val="Heading1"/>
      </w:pPr>
      <w:r>
        <w:t xml:space="preserve">4. Questions</w:t>
      </w:r>
    </w:p>
    <w:p>
      <w:pPr>
        <w:spacing w:after="120"/>
      </w:pPr>
      <w:r>
        <w:t xml:space="preserve">Send questions about these changes to hr@veltrix.example.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675"/>
        <w:sz w:val="15"/>
        <w:szCs w:val="15"/>
      </w:rPr>
      <w:t xml:space="preserve">Veltrix Systems  |  POL-LEAVE-GLOBAL-V3  |  Internal  |  Page </w:t>
    </w:r>
    <w:r>
      <w:rPr>
        <w:color w:val="5B66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Leave Policy (Version 3)</dc:title>
  <dc:creator>Veltrix Systems</dc:creator>
  <cp:lastModifiedBy>Un-named</cp:lastModifiedBy>
  <cp:revision>1</cp:revision>
  <dcterms:created xsi:type="dcterms:W3CDTF">2026-10-07T18:13:13.512Z</dcterms:created>
  <dcterms:modified xsi:type="dcterms:W3CDTF">2026-10-07T18:13:13.512Z</dcterms:modified>
</cp:coreProperties>
</file>

<file path=docProps/custom.xml><?xml version="1.0" encoding="utf-8"?>
<Properties xmlns="http://schemas.openxmlformats.org/officeDocument/2006/custom-properties" xmlns:vt="http://schemas.openxmlformats.org/officeDocument/2006/docPropsVTypes"/>
</file>