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Performance Improvement Plan Guidelines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HR-PIP-GUIDE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September 2025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offices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People Team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Strictly confidential: People Team only</w:t>
            </w:r>
          </w:p>
        </w:tc>
      </w:tr>
    </w:tbl>
    <w:p/>
    <w:p>
      <w:pPr>
        <w:spacing w:after="120"/>
      </w:pPr>
      <w:r>
        <w:t xml:space="preserve">Confidential: People Team only.</w:t>
      </w:r>
    </w:p>
    <w:p>
      <w:pPr>
        <w:pStyle w:val="Heading1"/>
      </w:pPr>
      <w:r>
        <w:t xml:space="preserve">1. When to use a performance improvement plan</w:t>
      </w:r>
    </w:p>
    <w:p>
      <w:pPr>
        <w:spacing w:after="120"/>
      </w:pPr>
      <w:r>
        <w:t xml:space="preserve">A performance improvement plan (PIP) is used only after informal feedback and support have not led to the required improvement over at least 6 weeks.</w:t>
      </w:r>
    </w:p>
    <w:p>
      <w:pPr>
        <w:pStyle w:val="Heading1"/>
      </w:pPr>
      <w:r>
        <w:t xml:space="preserve">2. Length of a plan</w:t>
      </w:r>
    </w:p>
    <w:p>
      <w:pPr>
        <w:spacing w:after="120"/>
      </w:pPr>
      <w:r>
        <w:t xml:space="preserve">A PIP normally lasts 60 calendar days. It may be extended once by up to 30 calendar days.</w:t>
      </w:r>
    </w:p>
    <w:p>
      <w:pPr>
        <w:pStyle w:val="Heading1"/>
      </w:pPr>
      <w:r>
        <w:t xml:space="preserve">3. Required steps</w:t>
      </w:r>
    </w:p>
    <w:p>
      <w:pPr>
        <w:pStyle w:val="ListParagraph"/>
        <w:numPr>
          <w:ilvl w:val="0"/>
          <w:numId w:val="2"/>
        </w:numPr>
      </w:pPr>
      <w:r>
        <w:t xml:space="preserve">The People Partner reviews the evidence with the manager.</w:t>
      </w:r>
    </w:p>
    <w:p>
      <w:pPr>
        <w:pStyle w:val="ListParagraph"/>
        <w:numPr>
          <w:ilvl w:val="0"/>
          <w:numId w:val="2"/>
        </w:numPr>
      </w:pPr>
      <w:r>
        <w:t xml:space="preserve">The manager and People Partner agree measurable goals.</w:t>
      </w:r>
    </w:p>
    <w:p>
      <w:pPr>
        <w:pStyle w:val="ListParagraph"/>
        <w:numPr>
          <w:ilvl w:val="0"/>
          <w:numId w:val="2"/>
        </w:numPr>
      </w:pPr>
      <w:r>
        <w:t xml:space="preserve">The employee is given the written plan in a meeting and may bring a colleague.</w:t>
      </w:r>
    </w:p>
    <w:p>
      <w:pPr>
        <w:pStyle w:val="ListParagraph"/>
        <w:numPr>
          <w:ilvl w:val="0"/>
          <w:numId w:val="2"/>
        </w:numPr>
      </w:pPr>
      <w:r>
        <w:t xml:space="preserve">Progress meetings are held every two weeks and recorded.</w:t>
      </w:r>
    </w:p>
    <w:p>
      <w:pPr>
        <w:pStyle w:val="ListParagraph"/>
        <w:numPr>
          <w:ilvl w:val="0"/>
          <w:numId w:val="2"/>
        </w:numPr>
      </w:pPr>
      <w:r>
        <w:t xml:space="preserve">A final review decides whether the plan was completed successfully.</w:t>
      </w:r>
    </w:p>
    <w:p>
      <w:pPr>
        <w:pStyle w:val="Heading1"/>
      </w:pPr>
      <w:r>
        <w:t xml:space="preserve">4. Regional requirements</w:t>
      </w:r>
    </w:p>
    <w:p>
      <w:pPr>
        <w:spacing w:after="120"/>
      </w:pPr>
      <w:r>
        <w:t xml:space="preserve">In Germany, the works council must be informed before any dismissal. In India and the United States, follow the local legal guidance provided by the Legal Team.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B6675"/>
        <w:sz w:val="15"/>
        <w:szCs w:val="15"/>
      </w:rPr>
      <w:t xml:space="preserve">Veltrix Systems  |  HR-PIP-GUIDE  |  Strictly confidential: People Team only  |  Page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Improvement Plan Guidelines</dc:title>
  <dc:creator>Veltrix Systems</dc:creator>
  <cp:lastModifiedBy>Un-named</cp:lastModifiedBy>
  <cp:revision>1</cp:revision>
  <dcterms:created xsi:type="dcterms:W3CDTF">2026-10-07T18:13:13.683Z</dcterms:created>
  <dcterms:modified xsi:type="dcterms:W3CDTF">2026-10-07T18:13:13.683Z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