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Remote and Hybrid Work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Document ID</w:t>
            </w:r>
          </w:p>
        </w:tc>
        <w:tc>
          <w:tcPr>
            <w:tcW w:type="dxa" w:w="6426"/>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POL-REMOTE-WORK</w:t>
            </w:r>
          </w:p>
        </w:tc>
      </w:tr>
      <w:tr>
        <w:tc>
          <w:tcPr>
            <w:tcW w:type="dxa" w:w="2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Version</w:t>
            </w:r>
          </w:p>
        </w:tc>
        <w:tc>
          <w:tcPr>
            <w:tcW w:type="dxa" w:w="6426"/>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1.0</w:t>
            </w:r>
          </w:p>
        </w:tc>
      </w:tr>
      <w:tr>
        <w:tc>
          <w:tcPr>
            <w:tcW w:type="dxa" w:w="2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Effective date</w:t>
            </w:r>
          </w:p>
        </w:tc>
        <w:tc>
          <w:tcPr>
            <w:tcW w:type="dxa" w:w="6426"/>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1 January 2025</w:t>
            </w:r>
          </w:p>
        </w:tc>
      </w:tr>
      <w:tr>
        <w:tc>
          <w:tcPr>
            <w:tcW w:type="dxa" w:w="2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Applies to</w:t>
            </w:r>
          </w:p>
        </w:tc>
        <w:tc>
          <w:tcPr>
            <w:tcW w:type="dxa" w:w="6426"/>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All offices</w:t>
            </w:r>
          </w:p>
        </w:tc>
      </w:tr>
      <w:tr>
        <w:tc>
          <w:tcPr>
            <w:tcW w:type="dxa" w:w="2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Owner</w:t>
            </w:r>
          </w:p>
        </w:tc>
        <w:tc>
          <w:tcPr>
            <w:tcW w:type="dxa" w:w="6426"/>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People Team</w:t>
            </w:r>
          </w:p>
        </w:tc>
      </w:tr>
      <w:tr>
        <w:tc>
          <w:tcPr>
            <w:tcW w:type="dxa" w:w="2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Classification</w:t>
            </w:r>
          </w:p>
        </w:tc>
        <w:tc>
          <w:tcPr>
            <w:tcW w:type="dxa" w:w="6426"/>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Internal</w:t>
            </w:r>
          </w:p>
        </w:tc>
      </w:tr>
    </w:tbl>
    <w:p/>
    <w:p>
      <w:pPr>
        <w:pStyle w:val="Heading1"/>
      </w:pPr>
      <w:r>
        <w:t xml:space="preserve">1. Purpose</w:t>
      </w:r>
    </w:p>
    <w:p>
      <w:pPr>
        <w:spacing w:after="120"/>
      </w:pPr>
      <w:r>
        <w:t xml:space="preserve">Veltrix Systems is a hybrid company. This policy explains when employees may work from home, what we expect while working remotely, and the support we provide.</w:t>
      </w:r>
    </w:p>
    <w:p>
      <w:pPr>
        <w:pStyle w:val="Heading1"/>
      </w:pPr>
      <w:r>
        <w:t xml:space="preserve">2. Working from home</w:t>
      </w:r>
    </w:p>
    <w:p>
      <w:pPr>
        <w:spacing w:after="120"/>
      </w:pPr>
      <w:r>
        <w:t xml:space="preserve">Employees may work from home for up to 2 days per week. The remaining working days are spent in the employee's assigned office. Teams agree their office days together so that people can collaborate in person. Days working from home cannot be saved up and carried into a later week.</w:t>
      </w:r>
    </w:p>
    <w:p>
      <w:pPr>
        <w:spacing w:after="120"/>
      </w:pPr>
      <w:r>
        <w:t xml:space="preserve">Roles that need physical presence, such as office operations and hardware lab roles, may have fewer or no remote days. Managers will confirm this when a role is offered.</w:t>
      </w:r>
    </w:p>
    <w:p>
      <w:pPr>
        <w:pStyle w:val="Heading1"/>
      </w:pPr>
      <w:r>
        <w:t xml:space="preserve">3. Core hours</w:t>
      </w:r>
    </w:p>
    <w:p>
      <w:pPr>
        <w:spacing w:after="120"/>
      </w:pPr>
      <w:r>
        <w:t xml:space="preserve">All employees, wherever they work, should be available between 10:00 and 16:00 local office time on working days, unless they are on leave.</w:t>
      </w:r>
    </w:p>
    <w:p>
      <w:pPr>
        <w:pStyle w:val="Heading1"/>
      </w:pPr>
      <w:r>
        <w:t xml:space="preserve">4. Home office equipment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AA7B8" w:sz="4"/>
              <w:left w:val="single" w:color="9AA7B8" w:sz="4"/>
              <w:bottom w:val="single" w:color="9AA7B8" w:sz="4"/>
              <w:right w:val="single" w:color="9AA7B8" w:sz="4"/>
            </w:tcBorders>
            <w:shd w:fill="E3E9F2" w:color="auto" w:val="clear"/>
            <w:tcMar>
              <w:top w:type="dxa" w:w="60"/>
              <w:left w:type="dxa" w:w="100"/>
              <w:bottom w:type="dxa" w:w="60"/>
              <w:right w:type="dxa" w:w="100"/>
            </w:tcMar>
          </w:tcPr>
          <w:p>
            <w:r>
              <w:rPr>
                <w:b/>
                <w:bCs/>
                <w:sz w:val="19"/>
                <w:szCs w:val="19"/>
              </w:rPr>
              <w:t xml:space="preserve">Office</w:t>
            </w:r>
          </w:p>
        </w:tc>
        <w:tc>
          <w:tcPr>
            <w:tcW w:type="dxa" w:w="4513"/>
            <w:tcBorders>
              <w:top w:val="single" w:color="9AA7B8" w:sz="4"/>
              <w:left w:val="single" w:color="9AA7B8" w:sz="4"/>
              <w:bottom w:val="single" w:color="9AA7B8" w:sz="4"/>
              <w:right w:val="single" w:color="9AA7B8" w:sz="4"/>
            </w:tcBorders>
            <w:shd w:fill="E3E9F2" w:color="auto" w:val="clear"/>
            <w:tcMar>
              <w:top w:type="dxa" w:w="60"/>
              <w:left w:type="dxa" w:w="100"/>
              <w:bottom w:type="dxa" w:w="60"/>
              <w:right w:type="dxa" w:w="100"/>
            </w:tcMar>
          </w:tcPr>
          <w:p>
            <w:r>
              <w:rPr>
                <w:b/>
                <w:bCs/>
                <w:sz w:val="19"/>
                <w:szCs w:val="19"/>
              </w:rPr>
              <w:t xml:space="preserve">One-time home office allowance</w:t>
            </w:r>
          </w:p>
        </w:tc>
      </w:tr>
      <w:tr>
        <w:tc>
          <w:tcPr>
            <w:tcW w:type="dxa" w:w="4513"/>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Bengaluru, India</w:t>
            </w:r>
          </w:p>
        </w:tc>
        <w:tc>
          <w:tcPr>
            <w:tcW w:type="dxa" w:w="4513"/>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₹30,000</w:t>
            </w:r>
          </w:p>
        </w:tc>
      </w:tr>
      <w:tr>
        <w:tc>
          <w:tcPr>
            <w:tcW w:type="dxa" w:w="4513"/>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Austin, United States</w:t>
            </w:r>
          </w:p>
        </w:tc>
        <w:tc>
          <w:tcPr>
            <w:tcW w:type="dxa" w:w="4513"/>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$500</w:t>
            </w:r>
          </w:p>
        </w:tc>
      </w:tr>
      <w:tr>
        <w:tc>
          <w:tcPr>
            <w:tcW w:type="dxa" w:w="4513"/>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Berlin, Germany</w:t>
            </w:r>
          </w:p>
        </w:tc>
        <w:tc>
          <w:tcPr>
            <w:tcW w:type="dxa" w:w="4513"/>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€450</w:t>
            </w:r>
          </w:p>
        </w:tc>
      </w:tr>
    </w:tbl>
    <w:p/>
    <w:p>
      <w:pPr>
        <w:spacing w:after="120"/>
      </w:pPr>
      <w:r>
        <w:t xml:space="preserve">The allowance can be claimed once in any three-year period through the expense system, with receipts. Company laptops and monitors are provided separately by IT.</w:t>
      </w:r>
    </w:p>
    <w:p>
      <w:pPr>
        <w:pStyle w:val="Heading1"/>
      </w:pPr>
      <w:r>
        <w:t xml:space="preserve">5. Working from another location</w:t>
      </w:r>
    </w:p>
    <w:p>
      <w:pPr>
        <w:spacing w:after="120"/>
      </w:pPr>
      <w:r>
        <w:t xml:space="preserve">Employees may work temporarily from a location other than their home city within their country of employment for up to 20 working days per year, with their manager's approval. Working from another country requires approval from both the manager and the People Team, because of tax and immigration rules, and is limited to 10 working days per year.</w:t>
      </w:r>
    </w:p>
    <w:p>
      <w:pPr>
        <w:pStyle w:val="Heading1"/>
      </w:pPr>
      <w:r>
        <w:t xml:space="preserve">6. Security</w:t>
      </w:r>
    </w:p>
    <w:p>
      <w:pPr>
        <w:spacing w:after="120"/>
      </w:pPr>
      <w:r>
        <w:t xml:space="preserve">Employees working remotely must follow the IT Security Policy, including using the company VPN and never working on confidential information in public places where screens can be seen.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B6675"/>
        <w:sz w:val="15"/>
        <w:szCs w:val="15"/>
      </w:rPr>
      <w:t xml:space="preserve">Veltrix Systems  |  POL-REMOTE-WORK  |  Internal  |  Page </w:t>
    </w:r>
    <w:r>
      <w:rPr>
        <w:color w:val="5B66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and Hybrid Work Policy</dc:title>
  <dc:creator>Veltrix Systems</dc:creator>
  <cp:lastModifiedBy>Un-named</cp:lastModifiedBy>
  <cp:revision>1</cp:revision>
  <dcterms:created xsi:type="dcterms:W3CDTF">2026-10-07T18:13:13.598Z</dcterms:created>
  <dcterms:modified xsi:type="dcterms:W3CDTF">2026-10-07T18:13:13.598Z</dcterms:modified>
</cp:coreProperties>
</file>

<file path=docProps/custom.xml><?xml version="1.0" encoding="utf-8"?>
<Properties xmlns="http://schemas.openxmlformats.org/officeDocument/2006/custom-properties" xmlns:vt="http://schemas.openxmlformats.org/officeDocument/2006/docPropsVTypes"/>
</file>