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B01B" w14:textId="5CB419A3" w:rsidR="00DF5F87" w:rsidRDefault="00DF5F87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DF5F87">
        <w:rPr>
          <w:rFonts w:ascii="Times New Roman" w:hAnsi="Times New Roman" w:cs="Times New Roman"/>
          <w:b/>
          <w:bCs/>
          <w:sz w:val="32"/>
          <w:szCs w:val="32"/>
        </w:rPr>
        <w:t xml:space="preserve">Assessment 1 – Report on Data Visualisation </w:t>
      </w:r>
    </w:p>
    <w:p w14:paraId="7A44668A" w14:textId="53317D72" w:rsidR="00F42FF1" w:rsidRDefault="00F42FF1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F42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CA65E40" wp14:editId="794E4DC4">
            <wp:extent cx="5731510" cy="496570"/>
            <wp:effectExtent l="0" t="0" r="2540" b="0"/>
            <wp:docPr id="19587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6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DA0" w14:textId="4BC609AA" w:rsidR="00F42FF1" w:rsidRDefault="00F42FF1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F42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76DAE68" wp14:editId="171EA46D">
            <wp:extent cx="5731510" cy="504190"/>
            <wp:effectExtent l="0" t="0" r="2540" b="0"/>
            <wp:docPr id="125397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7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7994" w14:textId="100E8A2E" w:rsidR="00F42FF1" w:rsidRDefault="00F42FF1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F42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D7C6ED" wp14:editId="1A57018A">
            <wp:extent cx="5731510" cy="426720"/>
            <wp:effectExtent l="0" t="0" r="2540" b="0"/>
            <wp:docPr id="1184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3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D143" w14:textId="7E314774" w:rsidR="00F42FF1" w:rsidRDefault="00F42FF1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F42F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38F2CBE" wp14:editId="7B744F96">
            <wp:extent cx="5731510" cy="3341370"/>
            <wp:effectExtent l="0" t="0" r="2540" b="0"/>
            <wp:docPr id="14936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1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FA95" w14:textId="63B9608A" w:rsidR="00B21AA3" w:rsidRDefault="00B21AA3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B21A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9B97C20" wp14:editId="3BDBCA57">
            <wp:extent cx="4483330" cy="2540131"/>
            <wp:effectExtent l="0" t="0" r="0" b="0"/>
            <wp:docPr id="3285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1202" w14:textId="77777777" w:rsidR="00B21AA3" w:rsidRDefault="00B21AA3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0E11403B" w14:textId="0FC6198E" w:rsidR="00B21AA3" w:rsidRDefault="00B21AA3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B21AA3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DCF171B" wp14:editId="4CB63B54">
            <wp:extent cx="4216617" cy="2533780"/>
            <wp:effectExtent l="0" t="0" r="0" b="0"/>
            <wp:docPr id="13106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4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7EFA" w14:textId="140D0643" w:rsidR="00B21AA3" w:rsidRDefault="00B21AA3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B21A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B5EDC3" wp14:editId="286F3F3D">
            <wp:extent cx="4267419" cy="2482978"/>
            <wp:effectExtent l="0" t="0" r="0" b="0"/>
            <wp:docPr id="25693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3F5" w14:textId="5E6770B8" w:rsidR="00B21AA3" w:rsidRPr="00DF5F87" w:rsidRDefault="00B21AA3" w:rsidP="00DF5F87">
      <w:pPr>
        <w:pStyle w:val="BodyText"/>
        <w:spacing w:line="360" w:lineRule="auto"/>
        <w:jc w:val="both"/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rPr>
          <w:rFonts w:ascii="Times New Roman" w:hAnsi="Times New Roman" w:cs="Times New Roman"/>
          <w:b/>
          <w:bCs/>
          <w:sz w:val="32"/>
          <w:szCs w:val="32"/>
        </w:rPr>
      </w:pPr>
      <w:r w:rsidRPr="00B21AA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5C1DCF" wp14:editId="05F0554F">
            <wp:extent cx="3981655" cy="2463927"/>
            <wp:effectExtent l="0" t="0" r="0" b="0"/>
            <wp:docPr id="2133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8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7132" w14:textId="6D3D65F9" w:rsidR="00953F5C" w:rsidRPr="00DF5F87" w:rsidRDefault="00F42FF1" w:rsidP="00DF5F87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42FF1">
        <w:rPr>
          <w:rFonts w:ascii="Times New Roman" w:hAnsi="Times New Roman" w:cs="Times New Roman"/>
          <w:sz w:val="32"/>
          <w:szCs w:val="32"/>
        </w:rPr>
        <w:t>The World Bank population dataset (indicator SP.POP.TOTL) was filtered to the 23 MENA countries that comprise the study region. Country-name conventions differ between the World Bank and NCD-</w:t>
      </w:r>
      <w:r w:rsidRPr="00F42FF1">
        <w:rPr>
          <w:rFonts w:ascii="Times New Roman" w:hAnsi="Times New Roman" w:cs="Times New Roman"/>
          <w:sz w:val="32"/>
          <w:szCs w:val="32"/>
        </w:rPr>
        <w:lastRenderedPageBreak/>
        <w:t>RisC sources — for example, Egypt is recorded as 'Egypt, Arab Rep.' in World Bank data and simply 'Egypt' in NCD-RisC — so two parallel country lists were maintained during this exploratory phase. In subsequent Data Preparation, ISO-3 country codes will be adopted as the canonical key for cross-source matching</w:t>
      </w:r>
    </w:p>
    <w:sectPr w:rsidR="00953F5C" w:rsidRPr="00DF5F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5C"/>
    <w:rsid w:val="005D1F1F"/>
    <w:rsid w:val="00953F5C"/>
    <w:rsid w:val="00B21AA3"/>
    <w:rsid w:val="00DF5F87"/>
    <w:rsid w:val="00F4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EAE3"/>
  <w15:chartTrackingRefBased/>
  <w15:docId w15:val="{AFCA248B-2E86-4499-96B6-DF933DFB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F87"/>
    <w:pPr>
      <w:spacing w:after="200" w:line="276" w:lineRule="auto"/>
    </w:pPr>
    <w:rPr>
      <w:rFonts w:eastAsiaTheme="minorEastAsia"/>
      <w:kern w:val="0"/>
      <w:szCs w:val="22"/>
      <w:lang w:val="en-GB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3F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5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:lang w:val="en-A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5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Cs w:val="24"/>
      <w:lang w:val="en-A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5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val="en-A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5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val="en-A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5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val="en-A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5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val="en-AE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5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5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Cs w:val="24"/>
      <w:lang w:val="en-A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5C"/>
    <w:pPr>
      <w:spacing w:after="160" w:line="278" w:lineRule="auto"/>
      <w:ind w:left="720"/>
      <w:contextualSpacing/>
    </w:pPr>
    <w:rPr>
      <w:rFonts w:eastAsiaTheme="minorHAnsi"/>
      <w:kern w:val="2"/>
      <w:szCs w:val="24"/>
      <w:lang w:val="en-A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Cs w:val="24"/>
      <w:lang w:val="en-A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Grid8"/>
    <w:uiPriority w:val="59"/>
    <w:rsid w:val="00DF5F87"/>
    <w:pPr>
      <w:spacing w:after="0" w:line="240" w:lineRule="auto"/>
    </w:pPr>
    <w:rPr>
      <w:rFonts w:eastAsiaTheme="minorEastAsia"/>
      <w:kern w:val="0"/>
      <w:sz w:val="20"/>
      <w:szCs w:val="20"/>
      <w:lang w:val="en-GB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DF5F87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F5F87"/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table" w:styleId="TableGrid8">
    <w:name w:val="Table Grid 8"/>
    <w:basedOn w:val="TableNormal"/>
    <w:uiPriority w:val="99"/>
    <w:semiHidden/>
    <w:unhideWhenUsed/>
    <w:rsid w:val="00DF5F87"/>
    <w:pPr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Selvanayakam</dc:creator>
  <cp:keywords/>
  <dc:description/>
  <cp:lastModifiedBy>Shanmugapriya Selvanayakam</cp:lastModifiedBy>
  <cp:revision>2</cp:revision>
  <dcterms:created xsi:type="dcterms:W3CDTF">2026-06-12T02:59:00Z</dcterms:created>
  <dcterms:modified xsi:type="dcterms:W3CDTF">2026-06-15T14:01:00Z</dcterms:modified>
</cp:coreProperties>
</file>