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Proposed Solution</w:t>
      </w:r>
    </w:p>
    <w:p>
      <w:r>
        <w:rPr>
          <w:color w:val="475569"/>
          <w:sz w:val="24"/>
        </w:rPr>
        <w:t>Project-level solution statement and value proposition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Shanmugapriya M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5112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Project-Specific Description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Problem to solve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Reduce manual hand-offs by managing an incident as one continuous, traceable lifecycle.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Solution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Capture the incident, validate details, determine priority, assign ownership, monitor SLA, escalate when required, record resolution and close the incident.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What makes it useful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Repeatable lifecycle rules are built into the workflow so common next actions do not depend entirely on manual follow-up.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User value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Reporters gain visibility; support teams gain ownership clarity; managers gain SLA control; reviewers gain history.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Scalability within scope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The same lifecycle can be extended with additional queues, priority rules and SLA policies without changing the core concept.</w:t>
            </w:r>
          </w:p>
        </w:tc>
      </w:tr>
    </w:tbl>
    <w:p>
      <w:pPr>
        <w:pStyle w:val="Heading1"/>
      </w:pPr>
      <w:r>
        <w:t>Scope Boundary</w:t>
      </w:r>
    </w:p>
    <w:p>
      <w:pPr>
        <w:spacing w:after="140"/>
      </w:pPr>
      <w:r>
        <w:t>The implementation should remain focused on incident lifecycle automation. Extra modules that are not needed for intake, handling, SLA, resolution, closure or audit history are excluded.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Shanmugapriya M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